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8AB9" w14:textId="77777777" w:rsidR="00346406" w:rsidRDefault="007D2F0A" w:rsidP="007D2F0A">
      <w:r>
        <w:rPr>
          <w:noProof/>
        </w:rPr>
        <w:drawing>
          <wp:anchor distT="0" distB="0" distL="114300" distR="114300" simplePos="0" relativeHeight="251659776" behindDoc="0" locked="0" layoutInCell="1" allowOverlap="1" wp14:anchorId="32F412BA" wp14:editId="587F3E17">
            <wp:simplePos x="0" y="0"/>
            <wp:positionH relativeFrom="column">
              <wp:posOffset>1804035</wp:posOffset>
            </wp:positionH>
            <wp:positionV relativeFrom="paragraph">
              <wp:posOffset>0</wp:posOffset>
            </wp:positionV>
            <wp:extent cx="2289810" cy="695325"/>
            <wp:effectExtent l="0" t="0" r="0" b="9525"/>
            <wp:wrapTopAndBottom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E91">
        <w:rPr>
          <w:noProof/>
        </w:rPr>
        <w:drawing>
          <wp:anchor distT="0" distB="0" distL="114300" distR="114300" simplePos="0" relativeHeight="251658752" behindDoc="1" locked="0" layoutInCell="1" allowOverlap="1" wp14:anchorId="247DCE00" wp14:editId="0954A115">
            <wp:simplePos x="0" y="0"/>
            <wp:positionH relativeFrom="margin">
              <wp:posOffset>4319905</wp:posOffset>
            </wp:positionH>
            <wp:positionV relativeFrom="paragraph">
              <wp:posOffset>-95885</wp:posOffset>
            </wp:positionV>
            <wp:extent cx="1990725" cy="835092"/>
            <wp:effectExtent l="0" t="0" r="0" b="3175"/>
            <wp:wrapNone/>
            <wp:docPr id="1" name="Immagine 1" descr="C:\Users\dg1165\Desktop\LogoFormat resear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g1165\Desktop\LogoFormat researc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3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0EB45642" wp14:editId="375DDB39">
            <wp:simplePos x="0" y="0"/>
            <wp:positionH relativeFrom="margin">
              <wp:posOffset>-285750</wp:posOffset>
            </wp:positionH>
            <wp:positionV relativeFrom="paragraph">
              <wp:posOffset>-242570</wp:posOffset>
            </wp:positionV>
            <wp:extent cx="1409700" cy="1057275"/>
            <wp:effectExtent l="0" t="0" r="0" b="9525"/>
            <wp:wrapNone/>
            <wp:docPr id="2" name="Immagine 2" descr="LOGO ASCOM GIU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SCOM GIUS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EC5C1" w14:textId="77777777" w:rsidR="00B6099B" w:rsidRDefault="00B6099B"/>
    <w:p w14:paraId="52656231" w14:textId="77777777" w:rsidR="00B6099B" w:rsidRDefault="00B6099B"/>
    <w:p w14:paraId="27E98CC8" w14:textId="1170092A" w:rsidR="00AE2E91" w:rsidRPr="00A502FC" w:rsidRDefault="00B035ED" w:rsidP="00FD77DA">
      <w:pPr>
        <w:jc w:val="center"/>
      </w:pPr>
      <w:bookmarkStart w:id="0" w:name="_Hlk45541165"/>
      <w:r w:rsidRPr="00BB4169">
        <w:rPr>
          <w:rFonts w:asciiTheme="minorHAnsi" w:hAnsiTheme="minorHAnsi"/>
          <w:b/>
          <w:color w:val="C00000"/>
          <w:sz w:val="28"/>
          <w:szCs w:val="28"/>
        </w:rPr>
        <w:t>L’ORIZZONTE ECONOMICO DELLA PROVINCIA DI TORINO</w:t>
      </w:r>
    </w:p>
    <w:p w14:paraId="2B009202" w14:textId="77777777" w:rsidR="0030120B" w:rsidRDefault="008F0FED" w:rsidP="0030120B">
      <w:pP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bCs/>
          <w:color w:val="0D0D0D" w:themeColor="text1" w:themeTint="F2"/>
          <w:kern w:val="36"/>
          <w:sz w:val="36"/>
          <w:szCs w:val="36"/>
        </w:rPr>
      </w:pPr>
      <w:r w:rsidRPr="00755AA3">
        <w:rPr>
          <w:rFonts w:asciiTheme="minorHAnsi" w:hAnsiTheme="minorHAnsi" w:cstheme="minorHAnsi"/>
          <w:b/>
          <w:bCs/>
          <w:color w:val="0D0D0D" w:themeColor="text1" w:themeTint="F2"/>
          <w:kern w:val="36"/>
          <w:sz w:val="36"/>
          <w:szCs w:val="36"/>
        </w:rPr>
        <w:t xml:space="preserve">Commercio, </w:t>
      </w:r>
      <w:r w:rsidR="007B2754">
        <w:rPr>
          <w:rFonts w:asciiTheme="minorHAnsi" w:hAnsiTheme="minorHAnsi" w:cstheme="minorHAnsi"/>
          <w:b/>
          <w:bCs/>
          <w:color w:val="0D0D0D" w:themeColor="text1" w:themeTint="F2"/>
          <w:kern w:val="36"/>
          <w:sz w:val="36"/>
          <w:szCs w:val="36"/>
        </w:rPr>
        <w:t>Turismo</w:t>
      </w:r>
      <w:r w:rsidRPr="00755AA3">
        <w:rPr>
          <w:rFonts w:asciiTheme="minorHAnsi" w:hAnsiTheme="minorHAnsi" w:cstheme="minorHAnsi"/>
          <w:b/>
          <w:bCs/>
          <w:color w:val="0D0D0D" w:themeColor="text1" w:themeTint="F2"/>
          <w:kern w:val="36"/>
          <w:sz w:val="36"/>
          <w:szCs w:val="36"/>
        </w:rPr>
        <w:t xml:space="preserve"> e Servizi:</w:t>
      </w:r>
    </w:p>
    <w:p w14:paraId="47C793D6" w14:textId="7EFF80E3" w:rsidR="008F0FED" w:rsidRPr="0030120B" w:rsidRDefault="00000000" w:rsidP="0030120B">
      <w:pP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bCs/>
          <w:color w:val="0D0D0D" w:themeColor="text1" w:themeTint="F2"/>
          <w:kern w:val="36"/>
          <w:sz w:val="36"/>
          <w:szCs w:val="36"/>
        </w:rPr>
      </w:pPr>
      <w:hyperlink r:id="rId8" w:history="1">
        <w:r w:rsidR="008F0FED" w:rsidRPr="00755AA3">
          <w:rPr>
            <w:rFonts w:asciiTheme="minorHAnsi" w:hAnsiTheme="minorHAnsi" w:cstheme="minorHAnsi"/>
            <w:b/>
            <w:bCs/>
            <w:color w:val="0D0D0D" w:themeColor="text1" w:themeTint="F2"/>
            <w:kern w:val="36"/>
            <w:sz w:val="36"/>
            <w:szCs w:val="36"/>
            <w:u w:val="single"/>
          </w:rPr>
          <w:t>q</w:t>
        </w:r>
        <w:r w:rsidR="008F0FED" w:rsidRPr="008F0FED">
          <w:rPr>
            <w:rFonts w:asciiTheme="minorHAnsi" w:hAnsiTheme="minorHAnsi" w:cstheme="minorHAnsi"/>
            <w:b/>
            <w:bCs/>
            <w:color w:val="0D0D0D" w:themeColor="text1" w:themeTint="F2"/>
            <w:kern w:val="36"/>
            <w:sz w:val="36"/>
            <w:szCs w:val="36"/>
            <w:u w:val="single"/>
          </w:rPr>
          <w:t>uando la domanda non trova l’offerta sul mercato del lavoro</w:t>
        </w:r>
      </w:hyperlink>
      <w:r w:rsidR="008F0FED" w:rsidRPr="008F0FED">
        <w:rPr>
          <w:rFonts w:asciiTheme="minorHAnsi" w:hAnsiTheme="minorHAnsi" w:cstheme="minorHAnsi"/>
          <w:b/>
          <w:bCs/>
          <w:color w:val="0D0D0D" w:themeColor="text1" w:themeTint="F2"/>
          <w:kern w:val="36"/>
          <w:sz w:val="36"/>
          <w:szCs w:val="36"/>
          <w:u w:val="single"/>
        </w:rPr>
        <w:t xml:space="preserve"> </w:t>
      </w:r>
    </w:p>
    <w:bookmarkEnd w:id="0"/>
    <w:p w14:paraId="4979B2FB" w14:textId="77777777" w:rsidR="0030120B" w:rsidRPr="0030120B" w:rsidRDefault="0030120B" w:rsidP="0030120B">
      <w:pPr>
        <w:jc w:val="center"/>
        <w:rPr>
          <w:rFonts w:asciiTheme="minorHAnsi" w:hAnsiTheme="minorHAnsi" w:cstheme="minorHAnsi"/>
          <w:b/>
          <w:bCs/>
          <w:color w:val="C00000"/>
        </w:rPr>
      </w:pPr>
      <w:r w:rsidRPr="0030120B">
        <w:rPr>
          <w:rFonts w:asciiTheme="minorHAnsi" w:hAnsiTheme="minorHAnsi" w:cstheme="minorHAnsi"/>
          <w:b/>
          <w:bCs/>
          <w:color w:val="C00000"/>
        </w:rPr>
        <w:t>Diminuisce la fiducia delle imprese del terziario di Torino, che pur lasciandosi alle spalle un secondo trimestre dell’anno in crescita, avvertono tutta l’incertezza del momento: l’aumento dell’inflazione, gli effetti della guerra, la possibile crisi economica alle porte.</w:t>
      </w:r>
    </w:p>
    <w:p w14:paraId="43415AFA" w14:textId="77777777" w:rsidR="0030120B" w:rsidRDefault="0030120B" w:rsidP="0030120B">
      <w:pPr>
        <w:jc w:val="center"/>
        <w:rPr>
          <w:b/>
          <w:bCs/>
        </w:rPr>
      </w:pPr>
    </w:p>
    <w:p w14:paraId="5CD42A2A" w14:textId="0905EC27" w:rsidR="0030120B" w:rsidRPr="0030120B" w:rsidRDefault="0030120B" w:rsidP="0030120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30120B">
        <w:rPr>
          <w:rFonts w:asciiTheme="minorHAnsi" w:hAnsiTheme="minorHAnsi" w:cstheme="minorHAnsi"/>
          <w:b/>
          <w:bCs/>
          <w:sz w:val="28"/>
          <w:szCs w:val="28"/>
        </w:rPr>
        <w:t xml:space="preserve">PUR IN UN CLIMA DI INCERTEZZA LE IMPRESE DEL TERZIARIO DI TORINO CHIUDONO POSITIVAMENTE IL SECONDO TRIMESTRE DELL’ANNO, MIGLIORANDO L’ANDAMENTO DELLA PROPRIA ATTIVITA’ E VEDENDO AUMENTRE I PROPRI RICAVI: </w:t>
      </w:r>
      <w:r w:rsidRPr="0030120B">
        <w:rPr>
          <w:rFonts w:asciiTheme="minorHAnsi" w:hAnsiTheme="minorHAnsi" w:cstheme="minorHAnsi"/>
          <w:b/>
          <w:bCs/>
          <w:sz w:val="28"/>
          <w:szCs w:val="28"/>
          <w:u w:val="single"/>
        </w:rPr>
        <w:t>LA STAGIONE DEGLI EVENTI IN CITTA’ HA PRODOTTO GLI EFFETTI POSITIVI SPERATI</w:t>
      </w:r>
      <w:r w:rsidRPr="0030120B">
        <w:rPr>
          <w:rFonts w:asciiTheme="minorHAnsi" w:hAnsiTheme="minorHAnsi" w:cstheme="minorHAnsi"/>
          <w:b/>
          <w:bCs/>
          <w:sz w:val="28"/>
          <w:szCs w:val="28"/>
        </w:rPr>
        <w:t>. LE ATTESE DEGLI IMPRENDITORI IN VISTA DELLA FINE DELL’ESTATE FANNO REGISTRARE UN NUOVO PEGGIORAMENTO DEI PRINCIPALI INDICATORI ECONOMICI.</w:t>
      </w:r>
    </w:p>
    <w:p w14:paraId="6C27A016" w14:textId="77777777" w:rsidR="0030120B" w:rsidRPr="0030120B" w:rsidRDefault="0030120B" w:rsidP="0030120B">
      <w:pPr>
        <w:jc w:val="center"/>
        <w:rPr>
          <w:rFonts w:asciiTheme="minorHAnsi" w:hAnsiTheme="minorHAnsi" w:cstheme="minorHAnsi"/>
          <w:b/>
          <w:bCs/>
          <w:color w:val="C00000"/>
          <w:u w:val="single"/>
        </w:rPr>
      </w:pPr>
    </w:p>
    <w:p w14:paraId="52626513" w14:textId="5D74FD55" w:rsidR="0030120B" w:rsidRPr="0030120B" w:rsidRDefault="0030120B" w:rsidP="0030120B">
      <w:pPr>
        <w:jc w:val="both"/>
        <w:rPr>
          <w:rFonts w:asciiTheme="minorHAnsi" w:hAnsiTheme="minorHAnsi" w:cstheme="minorHAnsi"/>
          <w:b/>
          <w:bCs/>
          <w:color w:val="C00000"/>
          <w:u w:val="single"/>
        </w:rPr>
      </w:pPr>
      <w:r w:rsidRPr="0030120B">
        <w:rPr>
          <w:rFonts w:asciiTheme="minorHAnsi" w:hAnsiTheme="minorHAnsi" w:cstheme="minorHAnsi"/>
          <w:b/>
          <w:bCs/>
          <w:color w:val="C00000"/>
          <w:u w:val="single"/>
        </w:rPr>
        <w:t>NEGLI ULTIMI 18 MESI LA META’ DELLE IMPRESE HA CERCATO NUOVO PERSONALE. QUASI IL 58% HA AVUTO DIFFICOLTA’ NEL TROVARE IL PERSONALE DEL QUALE AVEVA BISOGNO. A CAUSA DI TALI DIFFICOLTA’ IL 60% DELLE IMPRESE HA VISTO RIDURRE I PROPRI RICAVI E NON HA POTUTO SVILUPPARE I PROGRAMMI DI INVESTIMENTO E INNOVAZIONE PREVISTI.</w:t>
      </w:r>
    </w:p>
    <w:p w14:paraId="23CC5F3F" w14:textId="77777777" w:rsidR="0030120B" w:rsidRPr="0030120B" w:rsidRDefault="0030120B" w:rsidP="0030120B">
      <w:pPr>
        <w:jc w:val="both"/>
        <w:rPr>
          <w:rFonts w:asciiTheme="minorHAnsi" w:hAnsiTheme="minorHAnsi" w:cstheme="minorHAnsi"/>
          <w:b/>
        </w:rPr>
      </w:pPr>
    </w:p>
    <w:p w14:paraId="726EC974" w14:textId="77777777" w:rsidR="0030120B" w:rsidRPr="0030120B" w:rsidRDefault="0030120B" w:rsidP="0030120B">
      <w:pPr>
        <w:jc w:val="both"/>
        <w:rPr>
          <w:rFonts w:asciiTheme="minorHAnsi" w:hAnsiTheme="minorHAnsi" w:cstheme="minorHAnsi"/>
          <w:b/>
        </w:rPr>
      </w:pPr>
      <w:r w:rsidRPr="0030120B">
        <w:rPr>
          <w:rFonts w:asciiTheme="minorHAnsi" w:hAnsiTheme="minorHAnsi" w:cstheme="minorHAnsi"/>
          <w:b/>
        </w:rPr>
        <w:t xml:space="preserve">*Nel secondo trimestre 2022 è significativamente peggiorata la fiducia delle imprese del terziario della provincia di Torino circa l’andamento dell’economia italiana. La previsione al 30 settembre 2022 mostra l’indicatore in leggera diminuzione. </w:t>
      </w:r>
    </w:p>
    <w:p w14:paraId="1F33519E" w14:textId="77777777" w:rsidR="0030120B" w:rsidRPr="0030120B" w:rsidRDefault="0030120B" w:rsidP="0030120B">
      <w:pPr>
        <w:jc w:val="both"/>
        <w:rPr>
          <w:rFonts w:asciiTheme="minorHAnsi" w:hAnsiTheme="minorHAnsi" w:cstheme="minorHAnsi"/>
          <w:b/>
        </w:rPr>
      </w:pPr>
      <w:r w:rsidRPr="0030120B">
        <w:rPr>
          <w:rFonts w:asciiTheme="minorHAnsi" w:hAnsiTheme="minorHAnsi" w:cstheme="minorHAnsi"/>
          <w:b/>
        </w:rPr>
        <w:t xml:space="preserve">*Migliora la fiducia delle imprese di Torino nel secondo trimestre dell’anno: l’indicatore è pari a 51 (era 47 a marzo ‘22). In prospettiva emergono le preoccupazioni degli imprenditori con un dato di previsione che scende a 42 in vista della fine dell’estate.   </w:t>
      </w:r>
    </w:p>
    <w:p w14:paraId="0ECED239" w14:textId="77777777" w:rsidR="0030120B" w:rsidRPr="0030120B" w:rsidRDefault="0030120B" w:rsidP="0030120B">
      <w:pPr>
        <w:jc w:val="both"/>
        <w:rPr>
          <w:rFonts w:asciiTheme="minorHAnsi" w:hAnsiTheme="minorHAnsi" w:cstheme="minorHAnsi"/>
          <w:b/>
        </w:rPr>
      </w:pPr>
      <w:r w:rsidRPr="0030120B">
        <w:rPr>
          <w:rFonts w:asciiTheme="minorHAnsi" w:hAnsiTheme="minorHAnsi" w:cstheme="minorHAnsi"/>
          <w:b/>
        </w:rPr>
        <w:t>*Migliorano i ricavi delle imprese del commercio, del turismo e dei servizi di Torino al 30 giugno 2022. L’indicatore è pari a 52, al di sopra della linea del 50 che separa un mercato in contrazione da un mercato in crescita. L’aspettativa delle imprese in vista del 30/09 tuttavia fa registrare una riduzione dell’indicatore.</w:t>
      </w:r>
    </w:p>
    <w:p w14:paraId="2F63948C" w14:textId="77777777" w:rsidR="0030120B" w:rsidRPr="0030120B" w:rsidRDefault="0030120B" w:rsidP="0030120B">
      <w:pPr>
        <w:jc w:val="both"/>
        <w:rPr>
          <w:rFonts w:asciiTheme="minorHAnsi" w:hAnsiTheme="minorHAnsi" w:cstheme="minorHAnsi"/>
          <w:b/>
        </w:rPr>
      </w:pPr>
      <w:r w:rsidRPr="0030120B">
        <w:rPr>
          <w:rFonts w:asciiTheme="minorHAnsi" w:hAnsiTheme="minorHAnsi" w:cstheme="minorHAnsi"/>
          <w:b/>
        </w:rPr>
        <w:t>*Prosegue la crisi delle imprese colpite dall’aumento abnorme dei prezzi praticati da parte dei fornitori: l’indicatore è pari a 12 (su una scala da 0 a 100). Prospetticamente l’indicatore peggiorerà ancora, scendendo al livello più basso mai registrato prima dall’Osservatorio.</w:t>
      </w:r>
    </w:p>
    <w:p w14:paraId="1A468F69" w14:textId="77777777" w:rsidR="0030120B" w:rsidRPr="0030120B" w:rsidRDefault="0030120B" w:rsidP="0030120B">
      <w:pPr>
        <w:jc w:val="both"/>
        <w:rPr>
          <w:rFonts w:asciiTheme="minorHAnsi" w:hAnsiTheme="minorHAnsi" w:cstheme="minorHAnsi"/>
          <w:b/>
        </w:rPr>
      </w:pPr>
      <w:r w:rsidRPr="0030120B">
        <w:rPr>
          <w:rFonts w:asciiTheme="minorHAnsi" w:hAnsiTheme="minorHAnsi" w:cstheme="minorHAnsi"/>
          <w:b/>
        </w:rPr>
        <w:t xml:space="preserve">*Torna a peggiorare la situazione dei tempi di pagamento dei clienti delle imprese del terziario, con un peggioramento costante dell’indicatore a partire dalla metà del 2021. </w:t>
      </w:r>
    </w:p>
    <w:p w14:paraId="1FF86CBD" w14:textId="77777777" w:rsidR="0030120B" w:rsidRPr="0030120B" w:rsidRDefault="0030120B" w:rsidP="0030120B">
      <w:pPr>
        <w:jc w:val="both"/>
        <w:rPr>
          <w:rFonts w:asciiTheme="minorHAnsi" w:hAnsiTheme="minorHAnsi" w:cstheme="minorHAnsi"/>
          <w:b/>
        </w:rPr>
      </w:pPr>
      <w:r w:rsidRPr="0030120B">
        <w:rPr>
          <w:rFonts w:asciiTheme="minorHAnsi" w:hAnsiTheme="minorHAnsi" w:cstheme="minorHAnsi"/>
          <w:b/>
        </w:rPr>
        <w:lastRenderedPageBreak/>
        <w:t>*La situazione della liquidità delle imprese del terziario di Torino a giugno 2022 è in peggioramento rispetto al trimestre precedente. L’indicatore è in calo anche a livello prospettico in vista del mese di settembre.</w:t>
      </w:r>
    </w:p>
    <w:p w14:paraId="18704DFA" w14:textId="77777777" w:rsidR="0030120B" w:rsidRPr="0030120B" w:rsidRDefault="0030120B" w:rsidP="0030120B">
      <w:pPr>
        <w:jc w:val="both"/>
        <w:rPr>
          <w:rFonts w:asciiTheme="minorHAnsi" w:hAnsiTheme="minorHAnsi" w:cstheme="minorHAnsi"/>
          <w:b/>
        </w:rPr>
      </w:pPr>
      <w:r w:rsidRPr="0030120B">
        <w:rPr>
          <w:rFonts w:asciiTheme="minorHAnsi" w:hAnsiTheme="minorHAnsi" w:cstheme="minorHAnsi"/>
          <w:b/>
        </w:rPr>
        <w:t xml:space="preserve">*Il 20% circa delle imprese non ha trovato il personale che stava cercando, il 25% circa ne ha trovato fino al 40%. Solo il 28,7% è riuscita ad assumere tutti o quasi i lavoratori dei quali aveva bisogno. </w:t>
      </w:r>
    </w:p>
    <w:p w14:paraId="276C35F4" w14:textId="77777777" w:rsidR="0030120B" w:rsidRPr="0030120B" w:rsidRDefault="0030120B" w:rsidP="0030120B">
      <w:pPr>
        <w:jc w:val="both"/>
        <w:rPr>
          <w:rFonts w:asciiTheme="minorHAnsi" w:hAnsiTheme="minorHAnsi" w:cstheme="minorHAnsi"/>
          <w:b/>
        </w:rPr>
      </w:pPr>
      <w:r w:rsidRPr="0030120B">
        <w:rPr>
          <w:rFonts w:asciiTheme="minorHAnsi" w:hAnsiTheme="minorHAnsi" w:cstheme="minorHAnsi"/>
          <w:b/>
        </w:rPr>
        <w:t xml:space="preserve">*Il 57,2% delle imprese che hanno effettuato azioni di ricerca di nuovo personale ha riscontrato difficoltà nel reclutamento. </w:t>
      </w:r>
    </w:p>
    <w:p w14:paraId="7D5EAC13" w14:textId="41A857AB" w:rsidR="0030120B" w:rsidRPr="0030120B" w:rsidRDefault="0030120B" w:rsidP="0030120B">
      <w:pPr>
        <w:jc w:val="both"/>
        <w:rPr>
          <w:rFonts w:asciiTheme="minorHAnsi" w:hAnsiTheme="minorHAnsi" w:cstheme="minorHAnsi"/>
          <w:b/>
        </w:rPr>
      </w:pPr>
      <w:r w:rsidRPr="0030120B">
        <w:rPr>
          <w:rFonts w:asciiTheme="minorHAnsi" w:hAnsiTheme="minorHAnsi" w:cstheme="minorHAnsi"/>
          <w:b/>
        </w:rPr>
        <w:t>*Le difficoltà di reclutamento hanno provocato per il 60% delle imprese riduzione dei ricavi e impossibilità di fare le innovazioni necessarie.</w:t>
      </w:r>
    </w:p>
    <w:p w14:paraId="33FC5E52" w14:textId="77777777" w:rsidR="0030120B" w:rsidRPr="0030120B" w:rsidRDefault="0030120B" w:rsidP="0030120B">
      <w:pPr>
        <w:jc w:val="both"/>
        <w:rPr>
          <w:rFonts w:asciiTheme="minorHAnsi" w:hAnsiTheme="minorHAnsi" w:cstheme="minorHAnsi"/>
          <w:i/>
        </w:rPr>
      </w:pPr>
    </w:p>
    <w:p w14:paraId="73BB4EB8" w14:textId="77777777" w:rsidR="0030120B" w:rsidRPr="006765FF" w:rsidRDefault="0030120B" w:rsidP="0030120B">
      <w:pPr>
        <w:rPr>
          <w:rFonts w:asciiTheme="minorHAnsi" w:hAnsiTheme="minorHAnsi" w:cstheme="minorHAnsi"/>
          <w:i/>
        </w:rPr>
      </w:pPr>
      <w:r w:rsidRPr="006765FF">
        <w:rPr>
          <w:rFonts w:asciiTheme="minorHAnsi" w:hAnsiTheme="minorHAnsi" w:cstheme="minorHAnsi"/>
          <w:i/>
        </w:rPr>
        <w:t xml:space="preserve">Questi i principali risultati della ricerca sulle imprese del terziario della provincia di Torino, realizzata da </w:t>
      </w:r>
      <w:r w:rsidRPr="006765FF">
        <w:rPr>
          <w:rFonts w:asciiTheme="minorHAnsi" w:hAnsiTheme="minorHAnsi" w:cstheme="minorHAnsi"/>
          <w:b/>
          <w:bCs/>
          <w:i/>
        </w:rPr>
        <w:t>C</w:t>
      </w:r>
      <w:r w:rsidRPr="006765FF">
        <w:rPr>
          <w:rFonts w:asciiTheme="minorHAnsi" w:hAnsiTheme="minorHAnsi" w:cstheme="minorHAnsi"/>
          <w:b/>
          <w:i/>
        </w:rPr>
        <w:t>onfcommercio Torino</w:t>
      </w:r>
      <w:r w:rsidRPr="006765FF">
        <w:rPr>
          <w:rFonts w:asciiTheme="minorHAnsi" w:hAnsiTheme="minorHAnsi" w:cstheme="minorHAnsi"/>
          <w:i/>
        </w:rPr>
        <w:t xml:space="preserve"> in collaborazione con </w:t>
      </w:r>
      <w:r w:rsidRPr="006765FF">
        <w:rPr>
          <w:rFonts w:asciiTheme="minorHAnsi" w:hAnsiTheme="minorHAnsi" w:cstheme="minorHAnsi"/>
          <w:b/>
          <w:i/>
        </w:rPr>
        <w:t xml:space="preserve">Format </w:t>
      </w:r>
      <w:proofErr w:type="spellStart"/>
      <w:r w:rsidRPr="006765FF">
        <w:rPr>
          <w:rFonts w:asciiTheme="minorHAnsi" w:hAnsiTheme="minorHAnsi" w:cstheme="minorHAnsi"/>
          <w:b/>
          <w:i/>
        </w:rPr>
        <w:t>Research</w:t>
      </w:r>
      <w:proofErr w:type="spellEnd"/>
      <w:r w:rsidRPr="006765FF">
        <w:rPr>
          <w:rFonts w:asciiTheme="minorHAnsi" w:hAnsiTheme="minorHAnsi" w:cstheme="minorHAnsi"/>
          <w:i/>
        </w:rPr>
        <w:t>.</w:t>
      </w:r>
    </w:p>
    <w:p w14:paraId="7C203B2A" w14:textId="77777777" w:rsidR="006765FF" w:rsidRPr="00DD10C6" w:rsidRDefault="006765FF" w:rsidP="0030120B">
      <w:pPr>
        <w:spacing w:before="60" w:line="264" w:lineRule="auto"/>
        <w:rPr>
          <w:bCs/>
          <w:u w:val="single"/>
        </w:rPr>
      </w:pPr>
      <w:bookmarkStart w:id="1" w:name="_Hlk45098156"/>
      <w:bookmarkStart w:id="2" w:name="_Hlk55376811"/>
    </w:p>
    <w:p w14:paraId="6A3538C0" w14:textId="60A87550" w:rsidR="00584506" w:rsidRDefault="00DD10C6" w:rsidP="00584506">
      <w:pPr>
        <w:spacing w:before="60" w:line="264" w:lineRule="auto"/>
        <w:jc w:val="both"/>
        <w:rPr>
          <w:rFonts w:asciiTheme="minorHAnsi" w:hAnsiTheme="minorHAnsi" w:cstheme="minorHAnsi"/>
          <w:bCs/>
          <w:i/>
          <w:iCs/>
        </w:rPr>
      </w:pPr>
      <w:r w:rsidRPr="0085020C">
        <w:rPr>
          <w:rFonts w:asciiTheme="minorHAnsi" w:hAnsiTheme="minorHAnsi" w:cstheme="minorHAnsi"/>
          <w:bCs/>
          <w:i/>
          <w:iCs/>
        </w:rPr>
        <w:t>Alla difficile situazione economica si aggiunge ora la crisi incomprensibile del governo Draghi –</w:t>
      </w:r>
      <w:r w:rsidRPr="00DD10C6">
        <w:rPr>
          <w:rFonts w:asciiTheme="minorHAnsi" w:hAnsiTheme="minorHAnsi" w:cstheme="minorHAnsi"/>
          <w:bCs/>
        </w:rPr>
        <w:t xml:space="preserve"> </w:t>
      </w:r>
      <w:r w:rsidRPr="0085020C">
        <w:rPr>
          <w:rFonts w:asciiTheme="minorHAnsi" w:hAnsiTheme="minorHAnsi" w:cstheme="minorHAnsi"/>
          <w:b/>
        </w:rPr>
        <w:t>commenta Maria Luisa Coppa presidente di Ascom Confcommercio Torino e provincia</w:t>
      </w:r>
      <w:r w:rsidR="00584506" w:rsidRPr="0085020C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="00584506" w:rsidRPr="0085020C">
        <w:rPr>
          <w:rFonts w:asciiTheme="minorHAnsi" w:hAnsiTheme="minorHAnsi" w:cstheme="minorHAnsi"/>
          <w:bCs/>
          <w:i/>
          <w:iCs/>
        </w:rPr>
        <w:t xml:space="preserve">I nostri </w:t>
      </w:r>
      <w:r w:rsidRPr="0085020C">
        <w:rPr>
          <w:rFonts w:asciiTheme="minorHAnsi" w:hAnsiTheme="minorHAnsi" w:cstheme="minorHAnsi"/>
          <w:bCs/>
          <w:i/>
          <w:iCs/>
        </w:rPr>
        <w:t>impre</w:t>
      </w:r>
      <w:r w:rsidR="00584506" w:rsidRPr="0085020C">
        <w:rPr>
          <w:rFonts w:asciiTheme="minorHAnsi" w:hAnsiTheme="minorHAnsi" w:cstheme="minorHAnsi"/>
          <w:bCs/>
          <w:i/>
          <w:iCs/>
        </w:rPr>
        <w:t>nditori</w:t>
      </w:r>
      <w:r w:rsidRPr="0085020C">
        <w:rPr>
          <w:rFonts w:asciiTheme="minorHAnsi" w:hAnsiTheme="minorHAnsi" w:cstheme="minorHAnsi"/>
          <w:bCs/>
          <w:i/>
          <w:iCs/>
        </w:rPr>
        <w:t xml:space="preserve"> hanno bisogno di stabilità</w:t>
      </w:r>
      <w:r w:rsidR="00584506" w:rsidRPr="0085020C">
        <w:rPr>
          <w:rFonts w:asciiTheme="minorHAnsi" w:hAnsiTheme="minorHAnsi" w:cstheme="minorHAnsi"/>
          <w:bCs/>
          <w:i/>
          <w:iCs/>
        </w:rPr>
        <w:t xml:space="preserve">, di certezze per investire sullo sviluppo della propria azienda e sulla formazione del personale. </w:t>
      </w:r>
      <w:r w:rsidR="0085020C">
        <w:rPr>
          <w:rFonts w:asciiTheme="minorHAnsi" w:hAnsiTheme="minorHAnsi" w:cstheme="minorHAnsi"/>
          <w:bCs/>
          <w:i/>
          <w:iCs/>
        </w:rPr>
        <w:t xml:space="preserve">Quando le Istituzioni guardano al futuro e si investe sulla città i risultati si vedono: </w:t>
      </w:r>
      <w:r w:rsidR="00A21C54">
        <w:rPr>
          <w:rFonts w:asciiTheme="minorHAnsi" w:hAnsiTheme="minorHAnsi" w:cstheme="minorHAnsi"/>
          <w:bCs/>
          <w:i/>
          <w:iCs/>
        </w:rPr>
        <w:t xml:space="preserve">A Torino </w:t>
      </w:r>
      <w:r w:rsidR="0085020C">
        <w:rPr>
          <w:rFonts w:asciiTheme="minorHAnsi" w:hAnsiTheme="minorHAnsi" w:cstheme="minorHAnsi"/>
          <w:bCs/>
          <w:i/>
          <w:iCs/>
        </w:rPr>
        <w:t>la stagione degli eventi ha portato i risultati sperati</w:t>
      </w:r>
      <w:r w:rsidR="00F57EE7">
        <w:rPr>
          <w:rFonts w:asciiTheme="minorHAnsi" w:hAnsiTheme="minorHAnsi" w:cstheme="minorHAnsi"/>
          <w:bCs/>
          <w:i/>
          <w:iCs/>
        </w:rPr>
        <w:t>, soprattutto nei settori più direttamente coinvolti</w:t>
      </w:r>
      <w:r w:rsidR="00F92D59">
        <w:rPr>
          <w:rFonts w:asciiTheme="minorHAnsi" w:hAnsiTheme="minorHAnsi" w:cstheme="minorHAnsi"/>
          <w:bCs/>
          <w:i/>
          <w:iCs/>
        </w:rPr>
        <w:t>, andando a mitigare la preoccupazione che pure permane sulle prospettive di medio periodo</w:t>
      </w:r>
      <w:r w:rsidR="0085020C">
        <w:rPr>
          <w:rFonts w:asciiTheme="minorHAnsi" w:hAnsiTheme="minorHAnsi" w:cstheme="minorHAnsi"/>
          <w:bCs/>
          <w:i/>
          <w:iCs/>
        </w:rPr>
        <w:t>. Ora occorre andare avanti a tutti i livelli con una seria politica di programmazione e di innovazione, di contenimento dei prezzi delle fonti energetiche e dell’inflazione</w:t>
      </w:r>
      <w:r w:rsidR="00F57EE7">
        <w:rPr>
          <w:rFonts w:asciiTheme="minorHAnsi" w:hAnsiTheme="minorHAnsi" w:cstheme="minorHAnsi"/>
          <w:bCs/>
          <w:i/>
          <w:iCs/>
        </w:rPr>
        <w:t xml:space="preserve"> e con un piano organico e deciso in favore degli operatori di quei settori che ancora sentono pesantemente la crisi, </w:t>
      </w:r>
      <w:r w:rsidR="00F92D59">
        <w:rPr>
          <w:rFonts w:asciiTheme="minorHAnsi" w:hAnsiTheme="minorHAnsi" w:cstheme="minorHAnsi"/>
          <w:bCs/>
          <w:i/>
          <w:iCs/>
        </w:rPr>
        <w:t>primo tra tutti</w:t>
      </w:r>
      <w:r w:rsidR="00F57EE7">
        <w:rPr>
          <w:rFonts w:asciiTheme="minorHAnsi" w:hAnsiTheme="minorHAnsi" w:cstheme="minorHAnsi"/>
          <w:bCs/>
          <w:i/>
          <w:iCs/>
        </w:rPr>
        <w:t xml:space="preserve"> il settore della moda</w:t>
      </w:r>
      <w:r w:rsidR="0085020C">
        <w:rPr>
          <w:rFonts w:asciiTheme="minorHAnsi" w:hAnsiTheme="minorHAnsi" w:cstheme="minorHAnsi"/>
          <w:bCs/>
          <w:i/>
          <w:iCs/>
        </w:rPr>
        <w:t>.</w:t>
      </w:r>
      <w:r w:rsidR="00F92D59">
        <w:rPr>
          <w:rFonts w:asciiTheme="minorHAnsi" w:hAnsiTheme="minorHAnsi" w:cstheme="minorHAnsi"/>
          <w:bCs/>
          <w:i/>
          <w:iCs/>
        </w:rPr>
        <w:t xml:space="preserve"> Dall’indagine emerge forte la necessità di misure concrete per ridurre il costo del lavoro, e fornire un supporto formativo per aggiornare le competenze professionali, strumenti essenziali per colmare il gap tra domanda ed offerta di lavoro.</w:t>
      </w:r>
      <w:r w:rsidR="00F57EE7">
        <w:rPr>
          <w:rFonts w:asciiTheme="minorHAnsi" w:hAnsiTheme="minorHAnsi" w:cstheme="minorHAnsi"/>
          <w:bCs/>
          <w:i/>
          <w:iCs/>
        </w:rPr>
        <w:t xml:space="preserve"> </w:t>
      </w:r>
      <w:r w:rsidR="00AC673A">
        <w:rPr>
          <w:rFonts w:asciiTheme="minorHAnsi" w:hAnsiTheme="minorHAnsi" w:cstheme="minorHAnsi"/>
          <w:bCs/>
          <w:i/>
          <w:iCs/>
        </w:rPr>
        <w:t>Ci attende un autunno impegnativo sul fronte nazionale ed internazionale e il mondo dell’impresa ha bisogno di risposte</w:t>
      </w:r>
      <w:r w:rsidR="00F92D59">
        <w:rPr>
          <w:rFonts w:asciiTheme="minorHAnsi" w:hAnsiTheme="minorHAnsi" w:cstheme="minorHAnsi"/>
          <w:bCs/>
          <w:i/>
          <w:iCs/>
        </w:rPr>
        <w:t xml:space="preserve"> concrete ed efficaci</w:t>
      </w:r>
      <w:r w:rsidR="00AC673A">
        <w:rPr>
          <w:rFonts w:asciiTheme="minorHAnsi" w:hAnsiTheme="minorHAnsi" w:cstheme="minorHAnsi"/>
          <w:bCs/>
          <w:i/>
          <w:iCs/>
        </w:rPr>
        <w:t>.”</w:t>
      </w:r>
    </w:p>
    <w:p w14:paraId="55FC393D" w14:textId="482CB865" w:rsidR="00AC673A" w:rsidRDefault="00AC673A" w:rsidP="00584506">
      <w:pPr>
        <w:spacing w:before="60" w:line="264" w:lineRule="auto"/>
        <w:jc w:val="both"/>
        <w:rPr>
          <w:rFonts w:asciiTheme="minorHAnsi" w:hAnsiTheme="minorHAnsi" w:cstheme="minorHAnsi"/>
          <w:bCs/>
          <w:i/>
          <w:iCs/>
        </w:rPr>
      </w:pPr>
    </w:p>
    <w:p w14:paraId="76AACF5B" w14:textId="39A96EAE" w:rsidR="00AC673A" w:rsidRPr="00A62705" w:rsidRDefault="00AC673A" w:rsidP="00584506">
      <w:pPr>
        <w:spacing w:before="60" w:line="264" w:lineRule="auto"/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 xml:space="preserve">“Se nel secondo trimestre dell’anno è migliorata la fiducia delle imprese le preoccupazioni si concentrano sull’autunno, non solo sul fronte economica anche </w:t>
      </w:r>
      <w:r w:rsidR="00A62705">
        <w:rPr>
          <w:rFonts w:asciiTheme="minorHAnsi" w:hAnsiTheme="minorHAnsi" w:cstheme="minorHAnsi"/>
          <w:bCs/>
          <w:i/>
          <w:iCs/>
        </w:rPr>
        <w:t xml:space="preserve">per quanto riguarda la ricerca del personale. Il meccanismo di domanda e offerta del mercato del lavoro è bloccato </w:t>
      </w:r>
      <w:r w:rsidR="00A62705" w:rsidRPr="00A62705">
        <w:rPr>
          <w:rFonts w:asciiTheme="minorHAnsi" w:hAnsiTheme="minorHAnsi" w:cstheme="minorHAnsi"/>
          <w:b/>
          <w:i/>
          <w:iCs/>
        </w:rPr>
        <w:t xml:space="preserve">– aggiunge Carlo Alberto Carpignano direttore generale Ascom Confcommercio </w:t>
      </w:r>
      <w:r w:rsidR="00A62705">
        <w:rPr>
          <w:rFonts w:asciiTheme="minorHAnsi" w:hAnsiTheme="minorHAnsi" w:cstheme="minorHAnsi"/>
          <w:b/>
          <w:i/>
          <w:iCs/>
        </w:rPr>
        <w:t>T</w:t>
      </w:r>
      <w:r w:rsidR="00A62705" w:rsidRPr="00A62705">
        <w:rPr>
          <w:rFonts w:asciiTheme="minorHAnsi" w:hAnsiTheme="minorHAnsi" w:cstheme="minorHAnsi"/>
          <w:b/>
          <w:i/>
          <w:iCs/>
        </w:rPr>
        <w:t>orino e provincia</w:t>
      </w:r>
      <w:r w:rsidR="00A62705">
        <w:rPr>
          <w:rFonts w:asciiTheme="minorHAnsi" w:hAnsiTheme="minorHAnsi" w:cstheme="minorHAnsi"/>
          <w:b/>
          <w:i/>
          <w:iCs/>
        </w:rPr>
        <w:t xml:space="preserve">. </w:t>
      </w:r>
      <w:r w:rsidR="00F57EE7" w:rsidRPr="005F5577">
        <w:rPr>
          <w:rFonts w:asciiTheme="minorHAnsi" w:hAnsiTheme="minorHAnsi" w:cstheme="minorHAnsi"/>
          <w:bCs/>
          <w:i/>
          <w:iCs/>
        </w:rPr>
        <w:t>Il focus è stato proprio orientato a cogliere le ragioni del mismatch, del mancato incontro</w:t>
      </w:r>
      <w:r w:rsidR="00F92D59">
        <w:rPr>
          <w:rFonts w:asciiTheme="minorHAnsi" w:hAnsiTheme="minorHAnsi" w:cstheme="minorHAnsi"/>
          <w:bCs/>
          <w:i/>
          <w:iCs/>
        </w:rPr>
        <w:t>,</w:t>
      </w:r>
      <w:r w:rsidR="00F57EE7" w:rsidRPr="005F5577">
        <w:rPr>
          <w:rFonts w:asciiTheme="minorHAnsi" w:hAnsiTheme="minorHAnsi" w:cstheme="minorHAnsi"/>
          <w:bCs/>
          <w:i/>
          <w:iCs/>
        </w:rPr>
        <w:t xml:space="preserve"> tra chi cerca lavoro e chi lo offre. </w:t>
      </w:r>
      <w:r w:rsidR="00FE33D6" w:rsidRPr="00FE33D6">
        <w:rPr>
          <w:rFonts w:asciiTheme="minorHAnsi" w:hAnsiTheme="minorHAnsi" w:cstheme="minorHAnsi"/>
          <w:bCs/>
          <w:i/>
          <w:iCs/>
        </w:rPr>
        <w:t>Oltre un’impresa su due ha avuto difficoltà a reperire personale</w:t>
      </w:r>
      <w:r w:rsidR="00FE33D6">
        <w:rPr>
          <w:rFonts w:asciiTheme="minorHAnsi" w:hAnsiTheme="minorHAnsi" w:cstheme="minorHAnsi"/>
          <w:bCs/>
          <w:i/>
          <w:iCs/>
        </w:rPr>
        <w:t xml:space="preserve">. </w:t>
      </w:r>
      <w:r w:rsidR="005F5577">
        <w:rPr>
          <w:rFonts w:asciiTheme="minorHAnsi" w:hAnsiTheme="minorHAnsi" w:cstheme="minorHAnsi"/>
          <w:bCs/>
          <w:i/>
          <w:iCs/>
        </w:rPr>
        <w:t>Dal punto di vista delle imprese per colmare questa distanza, serv</w:t>
      </w:r>
      <w:r w:rsidR="00F92D59">
        <w:rPr>
          <w:rFonts w:asciiTheme="minorHAnsi" w:hAnsiTheme="minorHAnsi" w:cstheme="minorHAnsi"/>
          <w:bCs/>
          <w:i/>
          <w:iCs/>
        </w:rPr>
        <w:t>e</w:t>
      </w:r>
      <w:r w:rsidR="005F5577">
        <w:rPr>
          <w:rFonts w:asciiTheme="minorHAnsi" w:hAnsiTheme="minorHAnsi" w:cstheme="minorHAnsi"/>
          <w:bCs/>
          <w:i/>
          <w:iCs/>
        </w:rPr>
        <w:t xml:space="preserve"> un intervento del Governo per ridurre il cuneo fiscale e contributivo del lavoro e serve un rinforzo di competenze professionali dei lavoratori, mentre tra gli addetti i punti critici per il lavoro in questi settori sono legati agli orari di lavoro, alle mansioni ritenute poco attrattive ed ai livelli retributivi. </w:t>
      </w:r>
      <w:r w:rsidR="00A62705" w:rsidRPr="00FE33D6">
        <w:rPr>
          <w:rFonts w:asciiTheme="minorHAnsi" w:hAnsiTheme="minorHAnsi" w:cstheme="minorHAnsi"/>
          <w:bCs/>
          <w:i/>
          <w:iCs/>
        </w:rPr>
        <w:t>Per</w:t>
      </w:r>
      <w:r w:rsidR="00A62705" w:rsidRPr="00A62705">
        <w:rPr>
          <w:rFonts w:asciiTheme="minorHAnsi" w:hAnsiTheme="minorHAnsi" w:cstheme="minorHAnsi"/>
          <w:bCs/>
          <w:i/>
          <w:iCs/>
        </w:rPr>
        <w:t xml:space="preserve"> rispondere </w:t>
      </w:r>
      <w:r w:rsidR="00A62705">
        <w:rPr>
          <w:rFonts w:asciiTheme="minorHAnsi" w:hAnsiTheme="minorHAnsi" w:cstheme="minorHAnsi"/>
          <w:bCs/>
          <w:i/>
          <w:iCs/>
        </w:rPr>
        <w:t xml:space="preserve">alle necessità delle aziende Ascom ha messo a punto una serie di servizi capaci di incrociare la domanda delle imprese e quella </w:t>
      </w:r>
      <w:r w:rsidR="00A21C54">
        <w:rPr>
          <w:rFonts w:asciiTheme="minorHAnsi" w:hAnsiTheme="minorHAnsi" w:cstheme="minorHAnsi"/>
          <w:bCs/>
          <w:i/>
          <w:iCs/>
        </w:rPr>
        <w:t xml:space="preserve">del personale. </w:t>
      </w:r>
      <w:r w:rsidR="00A62705">
        <w:rPr>
          <w:rFonts w:asciiTheme="minorHAnsi" w:hAnsiTheme="minorHAnsi" w:cstheme="minorHAnsi"/>
          <w:bCs/>
          <w:i/>
          <w:iCs/>
        </w:rPr>
        <w:t xml:space="preserve"> </w:t>
      </w:r>
      <w:r w:rsidR="00D51B12">
        <w:rPr>
          <w:rFonts w:asciiTheme="minorHAnsi" w:hAnsiTheme="minorHAnsi" w:cstheme="minorHAnsi"/>
          <w:bCs/>
          <w:i/>
          <w:iCs/>
        </w:rPr>
        <w:t>Siamo convinti che solo rivedendo gli automatismi del mercato del lavoro</w:t>
      </w:r>
      <w:r w:rsidR="00A21C54">
        <w:rPr>
          <w:rFonts w:asciiTheme="minorHAnsi" w:hAnsiTheme="minorHAnsi" w:cstheme="minorHAnsi"/>
          <w:bCs/>
          <w:i/>
          <w:iCs/>
        </w:rPr>
        <w:t xml:space="preserve"> è possibile per le imprese ripartire con gli investimenti e favorire lo sviluppo economico del territorio.” </w:t>
      </w:r>
    </w:p>
    <w:p w14:paraId="71C807D4" w14:textId="51060712" w:rsidR="00AC673A" w:rsidRDefault="00AC673A" w:rsidP="00584506">
      <w:pPr>
        <w:spacing w:before="60" w:line="264" w:lineRule="auto"/>
        <w:jc w:val="both"/>
        <w:rPr>
          <w:rFonts w:asciiTheme="minorHAnsi" w:hAnsiTheme="minorHAnsi" w:cstheme="minorHAnsi"/>
          <w:bCs/>
          <w:i/>
          <w:iCs/>
        </w:rPr>
      </w:pPr>
    </w:p>
    <w:p w14:paraId="414CE360" w14:textId="77777777" w:rsidR="00AB5430" w:rsidRDefault="00AB5430" w:rsidP="0030120B">
      <w:pPr>
        <w:spacing w:before="60" w:line="264" w:lineRule="auto"/>
        <w:rPr>
          <w:rFonts w:asciiTheme="minorHAnsi" w:hAnsiTheme="minorHAnsi" w:cstheme="minorHAnsi"/>
          <w:b/>
          <w:color w:val="C00000"/>
          <w:sz w:val="20"/>
          <w:szCs w:val="20"/>
          <w:u w:val="single"/>
        </w:rPr>
      </w:pPr>
    </w:p>
    <w:p w14:paraId="73C7EE5D" w14:textId="576E6606" w:rsidR="0030120B" w:rsidRPr="002B5E3D" w:rsidRDefault="0030120B" w:rsidP="0030120B">
      <w:pPr>
        <w:spacing w:before="60" w:line="264" w:lineRule="auto"/>
        <w:rPr>
          <w:rFonts w:asciiTheme="minorHAnsi" w:hAnsiTheme="minorHAnsi" w:cstheme="minorHAnsi"/>
          <w:b/>
          <w:color w:val="C00000"/>
          <w:sz w:val="20"/>
          <w:szCs w:val="20"/>
          <w:u w:val="single"/>
        </w:rPr>
      </w:pPr>
      <w:r w:rsidRPr="002B5E3D">
        <w:rPr>
          <w:rFonts w:asciiTheme="minorHAnsi" w:hAnsiTheme="minorHAnsi" w:cstheme="minorHAnsi"/>
          <w:b/>
          <w:color w:val="C00000"/>
          <w:sz w:val="20"/>
          <w:szCs w:val="20"/>
          <w:u w:val="single"/>
        </w:rPr>
        <w:lastRenderedPageBreak/>
        <w:t xml:space="preserve">IL TESSUTO IMPRENDITORIALE </w:t>
      </w:r>
    </w:p>
    <w:p w14:paraId="581059FF" w14:textId="77777777" w:rsidR="0030120B" w:rsidRPr="002B5E3D" w:rsidRDefault="0030120B" w:rsidP="006765FF">
      <w:pPr>
        <w:spacing w:before="60"/>
        <w:jc w:val="both"/>
        <w:rPr>
          <w:rFonts w:asciiTheme="minorHAnsi" w:hAnsiTheme="minorHAnsi" w:cstheme="minorHAnsi"/>
          <w:b/>
          <w:i/>
        </w:rPr>
      </w:pPr>
      <w:r w:rsidRPr="002B5E3D">
        <w:rPr>
          <w:rFonts w:asciiTheme="minorHAnsi" w:hAnsiTheme="minorHAnsi" w:cstheme="minorHAnsi"/>
          <w:b/>
          <w:bCs/>
        </w:rPr>
        <w:t>Le imprese attive (extra agricole) nella provincia di Torino sono oltre 167 mila.</w:t>
      </w:r>
      <w:r w:rsidRPr="002B5E3D">
        <w:rPr>
          <w:rFonts w:asciiTheme="minorHAnsi" w:hAnsiTheme="minorHAnsi" w:cstheme="minorHAnsi"/>
        </w:rPr>
        <w:t xml:space="preserve"> </w:t>
      </w:r>
      <w:r w:rsidRPr="002B5E3D">
        <w:rPr>
          <w:rFonts w:asciiTheme="minorHAnsi" w:hAnsiTheme="minorHAnsi" w:cstheme="minorHAnsi"/>
          <w:b/>
          <w:bCs/>
        </w:rPr>
        <w:t>Le imprese del terziario costituiscono il 70% del totale delle imprese della provincia.</w:t>
      </w:r>
      <w:r w:rsidRPr="002B5E3D">
        <w:rPr>
          <w:rFonts w:asciiTheme="minorHAnsi" w:hAnsiTheme="minorHAnsi" w:cstheme="minorHAnsi"/>
        </w:rPr>
        <w:t xml:space="preserve"> Il numero delle imprese del terziario nuove iscritte nella provincia di Torino è ancora lontano dai livelli </w:t>
      </w:r>
      <w:proofErr w:type="spellStart"/>
      <w:r w:rsidRPr="002B5E3D">
        <w:rPr>
          <w:rFonts w:asciiTheme="minorHAnsi" w:hAnsiTheme="minorHAnsi" w:cstheme="minorHAnsi"/>
        </w:rPr>
        <w:t>pre</w:t>
      </w:r>
      <w:proofErr w:type="spellEnd"/>
      <w:r w:rsidRPr="002B5E3D">
        <w:rPr>
          <w:rFonts w:asciiTheme="minorHAnsi" w:hAnsiTheme="minorHAnsi" w:cstheme="minorHAnsi"/>
        </w:rPr>
        <w:t>-Covid. In ogni caso nel 2021 hanno ripreso ad aumentare le imprese nuove nate e sono cominciate a scendere le cessazioni di impresa: è una buona notizia.</w:t>
      </w:r>
    </w:p>
    <w:p w14:paraId="5FCA4899" w14:textId="77777777" w:rsidR="006765FF" w:rsidRPr="002B5E3D" w:rsidRDefault="006765FF" w:rsidP="0030120B">
      <w:pPr>
        <w:spacing w:before="60"/>
        <w:rPr>
          <w:rFonts w:asciiTheme="minorHAnsi" w:hAnsiTheme="minorHAnsi" w:cstheme="minorHAnsi"/>
          <w:b/>
          <w:i/>
        </w:rPr>
      </w:pPr>
    </w:p>
    <w:p w14:paraId="35E721C7" w14:textId="77777777" w:rsidR="00A21C54" w:rsidRDefault="00A21C54" w:rsidP="0030120B">
      <w:pPr>
        <w:spacing w:before="60"/>
        <w:rPr>
          <w:rFonts w:asciiTheme="minorHAnsi" w:hAnsiTheme="minorHAnsi" w:cstheme="minorHAnsi"/>
          <w:b/>
          <w:i/>
          <w:sz w:val="20"/>
          <w:szCs w:val="20"/>
        </w:rPr>
      </w:pPr>
    </w:p>
    <w:p w14:paraId="0659815A" w14:textId="77D52B76" w:rsidR="0030120B" w:rsidRPr="006765FF" w:rsidRDefault="0030120B" w:rsidP="0030120B">
      <w:pPr>
        <w:spacing w:before="60"/>
        <w:rPr>
          <w:rFonts w:asciiTheme="minorHAnsi" w:hAnsiTheme="minorHAnsi" w:cstheme="minorHAnsi"/>
          <w:b/>
          <w:i/>
          <w:sz w:val="20"/>
          <w:szCs w:val="20"/>
        </w:rPr>
      </w:pPr>
      <w:proofErr w:type="spellStart"/>
      <w:r w:rsidRPr="006765FF">
        <w:rPr>
          <w:rFonts w:asciiTheme="minorHAnsi" w:hAnsiTheme="minorHAnsi" w:cstheme="minorHAnsi"/>
          <w:b/>
          <w:i/>
          <w:sz w:val="20"/>
          <w:szCs w:val="20"/>
        </w:rPr>
        <w:t>Fig</w:t>
      </w:r>
      <w:proofErr w:type="spellEnd"/>
      <w:r w:rsidRPr="006765FF">
        <w:rPr>
          <w:rFonts w:asciiTheme="minorHAnsi" w:hAnsiTheme="minorHAnsi" w:cstheme="minorHAnsi"/>
          <w:b/>
          <w:i/>
          <w:sz w:val="20"/>
          <w:szCs w:val="20"/>
        </w:rPr>
        <w:t xml:space="preserve"> 1. Serie Storica (Iscrizioni – Cessazioni).</w:t>
      </w:r>
    </w:p>
    <w:p w14:paraId="32C41AE2" w14:textId="77777777" w:rsidR="0030120B" w:rsidRDefault="0030120B" w:rsidP="0030120B">
      <w:pPr>
        <w:spacing w:before="60"/>
        <w:rPr>
          <w:bCs/>
          <w:i/>
          <w:sz w:val="16"/>
        </w:rPr>
      </w:pPr>
      <w:r>
        <w:rPr>
          <w:noProof/>
          <w:sz w:val="20"/>
        </w:rPr>
        <w:drawing>
          <wp:inline distT="0" distB="0" distL="0" distR="0" wp14:anchorId="54A02BD5" wp14:editId="1FBE61D3">
            <wp:extent cx="4895850" cy="1937545"/>
            <wp:effectExtent l="0" t="0" r="0" b="571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182" cy="1944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482AFE" w14:textId="77777777" w:rsidR="0030120B" w:rsidRDefault="0030120B" w:rsidP="0030120B">
      <w:pPr>
        <w:spacing w:before="60"/>
        <w:rPr>
          <w:bCs/>
          <w:i/>
          <w:sz w:val="16"/>
        </w:rPr>
      </w:pPr>
    </w:p>
    <w:p w14:paraId="729EEB08" w14:textId="77777777" w:rsidR="00A21C54" w:rsidRDefault="00A21C54" w:rsidP="0030120B">
      <w:pPr>
        <w:spacing w:before="60" w:line="264" w:lineRule="auto"/>
        <w:rPr>
          <w:rFonts w:asciiTheme="minorHAnsi" w:hAnsiTheme="minorHAnsi" w:cstheme="minorHAnsi"/>
          <w:b/>
          <w:color w:val="C00000"/>
          <w:sz w:val="20"/>
          <w:szCs w:val="20"/>
          <w:u w:val="single"/>
        </w:rPr>
      </w:pPr>
    </w:p>
    <w:p w14:paraId="73A61269" w14:textId="693A0A02" w:rsidR="0030120B" w:rsidRPr="006765FF" w:rsidRDefault="0030120B" w:rsidP="0030120B">
      <w:pPr>
        <w:spacing w:before="60" w:line="264" w:lineRule="auto"/>
        <w:rPr>
          <w:rFonts w:asciiTheme="minorHAnsi" w:hAnsiTheme="minorHAnsi" w:cstheme="minorHAnsi"/>
          <w:b/>
          <w:color w:val="C00000"/>
          <w:sz w:val="20"/>
          <w:szCs w:val="20"/>
          <w:u w:val="single"/>
        </w:rPr>
      </w:pPr>
      <w:r w:rsidRPr="006765FF">
        <w:rPr>
          <w:rFonts w:asciiTheme="minorHAnsi" w:hAnsiTheme="minorHAnsi" w:cstheme="minorHAnsi"/>
          <w:b/>
          <w:color w:val="C00000"/>
          <w:sz w:val="20"/>
          <w:szCs w:val="20"/>
          <w:u w:val="single"/>
        </w:rPr>
        <w:t>CLIMA DI FIDUCIA</w:t>
      </w:r>
    </w:p>
    <w:p w14:paraId="451D3291" w14:textId="77777777" w:rsidR="0030120B" w:rsidRPr="002B5E3D" w:rsidRDefault="0030120B" w:rsidP="002B5E3D">
      <w:pPr>
        <w:spacing w:before="60"/>
        <w:jc w:val="both"/>
        <w:rPr>
          <w:rFonts w:asciiTheme="minorHAnsi" w:hAnsiTheme="minorHAnsi" w:cstheme="minorHAnsi"/>
          <w:b/>
          <w:bCs/>
        </w:rPr>
      </w:pPr>
      <w:bookmarkStart w:id="3" w:name="_Hlk31805056"/>
      <w:r w:rsidRPr="002B5E3D">
        <w:rPr>
          <w:rFonts w:asciiTheme="minorHAnsi" w:hAnsiTheme="minorHAnsi" w:cstheme="minorHAnsi"/>
          <w:b/>
          <w:bCs/>
        </w:rPr>
        <w:t xml:space="preserve">Nel secondo trimestre 2022 è significativamente peggiorata la fiducia delle imprese del terziario della provincia di Torino circa l’andamento dell’economia italiana. </w:t>
      </w:r>
      <w:r w:rsidRPr="002B5E3D">
        <w:rPr>
          <w:rFonts w:asciiTheme="minorHAnsi" w:hAnsiTheme="minorHAnsi" w:cstheme="minorHAnsi"/>
        </w:rPr>
        <w:t>La previsione al 30 settembre 2022 mostra l’indicatore in leggera diminuzione.</w:t>
      </w:r>
      <w:r w:rsidRPr="002B5E3D">
        <w:rPr>
          <w:rFonts w:asciiTheme="minorHAnsi" w:hAnsiTheme="minorHAnsi" w:cstheme="minorHAnsi"/>
          <w:b/>
          <w:bCs/>
        </w:rPr>
        <w:t xml:space="preserve"> </w:t>
      </w:r>
    </w:p>
    <w:p w14:paraId="0C29B839" w14:textId="086173CD" w:rsidR="0030120B" w:rsidRPr="002B5E3D" w:rsidRDefault="0030120B" w:rsidP="002B5E3D">
      <w:pPr>
        <w:spacing w:before="60" w:after="120"/>
        <w:jc w:val="both"/>
        <w:rPr>
          <w:rFonts w:asciiTheme="minorHAnsi" w:hAnsiTheme="minorHAnsi" w:cstheme="minorHAnsi"/>
          <w:b/>
          <w:i/>
        </w:rPr>
      </w:pPr>
      <w:proofErr w:type="spellStart"/>
      <w:r w:rsidRPr="002B5E3D">
        <w:rPr>
          <w:rFonts w:asciiTheme="minorHAnsi" w:hAnsiTheme="minorHAnsi" w:cstheme="minorHAnsi"/>
          <w:b/>
          <w:i/>
        </w:rPr>
        <w:t>Fig</w:t>
      </w:r>
      <w:proofErr w:type="spellEnd"/>
      <w:r w:rsidRPr="002B5E3D">
        <w:rPr>
          <w:rFonts w:asciiTheme="minorHAnsi" w:hAnsiTheme="minorHAnsi" w:cstheme="minorHAnsi"/>
          <w:b/>
          <w:i/>
        </w:rPr>
        <w:t xml:space="preserve"> 2. Andamento </w:t>
      </w:r>
      <w:r w:rsidRPr="002B5E3D">
        <w:rPr>
          <w:rFonts w:asciiTheme="minorHAnsi" w:hAnsiTheme="minorHAnsi" w:cstheme="minorHAnsi"/>
          <w:b/>
          <w:i/>
          <w:u w:val="single"/>
        </w:rPr>
        <w:t>FIDUCIA ECONOMIA ITALIANA</w:t>
      </w:r>
      <w:r w:rsidRPr="002B5E3D">
        <w:rPr>
          <w:rFonts w:asciiTheme="minorHAnsi" w:hAnsiTheme="minorHAnsi" w:cstheme="minorHAnsi"/>
          <w:b/>
        </w:rPr>
        <w:t xml:space="preserve">. </w:t>
      </w:r>
      <w:r w:rsidRPr="002B5E3D">
        <w:rPr>
          <w:rFonts w:asciiTheme="minorHAnsi" w:hAnsiTheme="minorHAnsi" w:cstheme="minorHAnsi"/>
          <w:b/>
          <w:i/>
        </w:rPr>
        <w:t xml:space="preserve">Saldo= % migliore + ½ invariato. </w:t>
      </w:r>
    </w:p>
    <w:p w14:paraId="378D2A7D" w14:textId="77777777" w:rsidR="0030120B" w:rsidRPr="002B5E3D" w:rsidRDefault="0030120B" w:rsidP="002B5E3D">
      <w:pPr>
        <w:spacing w:before="60"/>
        <w:jc w:val="both"/>
        <w:rPr>
          <w:b/>
          <w:bCs/>
        </w:rPr>
      </w:pPr>
    </w:p>
    <w:p w14:paraId="3DA3D7B3" w14:textId="77777777" w:rsidR="0030120B" w:rsidRDefault="0030120B" w:rsidP="0030120B">
      <w:pPr>
        <w:spacing w:before="60"/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inline distT="0" distB="0" distL="0" distR="0" wp14:anchorId="65BB8E27" wp14:editId="67495857">
            <wp:extent cx="4927030" cy="1800000"/>
            <wp:effectExtent l="0" t="0" r="698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03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96C325" w14:textId="77777777" w:rsidR="0030120B" w:rsidRPr="006765FF" w:rsidRDefault="0030120B" w:rsidP="006765FF">
      <w:pPr>
        <w:spacing w:before="60"/>
        <w:jc w:val="both"/>
        <w:rPr>
          <w:rFonts w:asciiTheme="minorHAnsi" w:hAnsiTheme="minorHAnsi" w:cstheme="minorHAnsi"/>
          <w:b/>
          <w:bCs/>
        </w:rPr>
      </w:pPr>
    </w:p>
    <w:p w14:paraId="1FC94978" w14:textId="77777777" w:rsidR="0030120B" w:rsidRPr="006765FF" w:rsidRDefault="0030120B" w:rsidP="006765FF">
      <w:pPr>
        <w:spacing w:before="60"/>
        <w:jc w:val="both"/>
        <w:rPr>
          <w:rFonts w:asciiTheme="minorHAnsi" w:hAnsiTheme="minorHAnsi" w:cstheme="minorHAnsi"/>
        </w:rPr>
      </w:pPr>
      <w:r w:rsidRPr="006765FF">
        <w:rPr>
          <w:rFonts w:asciiTheme="minorHAnsi" w:hAnsiTheme="minorHAnsi" w:cstheme="minorHAnsi"/>
          <w:b/>
          <w:bCs/>
        </w:rPr>
        <w:t xml:space="preserve">Migliora la fiducia delle imprese di Torino circa l’andamento della propria impresa nel secondo trimestre dell’anno: </w:t>
      </w:r>
      <w:r w:rsidRPr="006765FF">
        <w:rPr>
          <w:rFonts w:asciiTheme="minorHAnsi" w:hAnsiTheme="minorHAnsi" w:cstheme="minorHAnsi"/>
        </w:rPr>
        <w:t xml:space="preserve">l’indicatore è pari a 51 (era 47 a marzo ‘22). In prospettiva emergono le preoccupazioni degli imprenditori con un dato di previsione che scende a 42 in vista della fine dell’estate. </w:t>
      </w:r>
    </w:p>
    <w:p w14:paraId="08145112" w14:textId="77777777" w:rsidR="0030120B" w:rsidRDefault="0030120B" w:rsidP="0030120B">
      <w:pPr>
        <w:spacing w:before="60"/>
        <w:rPr>
          <w:b/>
          <w:i/>
          <w:sz w:val="16"/>
        </w:rPr>
      </w:pPr>
    </w:p>
    <w:p w14:paraId="2E485994" w14:textId="77777777" w:rsidR="00A21C54" w:rsidRDefault="00A21C54" w:rsidP="0030120B">
      <w:pPr>
        <w:spacing w:before="60" w:line="264" w:lineRule="auto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625AE2A3" w14:textId="77777777" w:rsidR="00AB5430" w:rsidRDefault="00AB5430" w:rsidP="0030120B">
      <w:pPr>
        <w:spacing w:before="60" w:line="264" w:lineRule="auto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731C47F1" w14:textId="77777777" w:rsidR="00AB5430" w:rsidRDefault="00AB5430" w:rsidP="0030120B">
      <w:pPr>
        <w:spacing w:before="60" w:line="264" w:lineRule="auto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</w:p>
    <w:p w14:paraId="0E76D62A" w14:textId="53B5737C" w:rsidR="0030120B" w:rsidRPr="006765FF" w:rsidRDefault="0030120B" w:rsidP="0030120B">
      <w:pPr>
        <w:spacing w:before="60" w:line="264" w:lineRule="auto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  <w:r w:rsidRPr="006765FF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lastRenderedPageBreak/>
        <w:t>CONGIUNTURA ECONOMICA</w:t>
      </w:r>
    </w:p>
    <w:p w14:paraId="0002CCB3" w14:textId="1F00D7F9" w:rsidR="0030120B" w:rsidRPr="006765FF" w:rsidRDefault="0030120B" w:rsidP="0030120B">
      <w:pPr>
        <w:spacing w:before="60"/>
        <w:rPr>
          <w:rFonts w:asciiTheme="minorHAnsi" w:hAnsiTheme="minorHAnsi" w:cstheme="minorHAnsi"/>
        </w:rPr>
      </w:pPr>
      <w:r w:rsidRPr="006765FF">
        <w:rPr>
          <w:rFonts w:asciiTheme="minorHAnsi" w:hAnsiTheme="minorHAnsi" w:cstheme="minorHAnsi"/>
          <w:b/>
          <w:bCs/>
        </w:rPr>
        <w:t xml:space="preserve">Migliorano i ricavi delle imprese del commercio, del turismo e dei servizi di Torino al 30 giugno 2022. </w:t>
      </w:r>
      <w:r w:rsidRPr="006765FF">
        <w:rPr>
          <w:rFonts w:asciiTheme="minorHAnsi" w:hAnsiTheme="minorHAnsi" w:cstheme="minorHAnsi"/>
        </w:rPr>
        <w:t>L’indicatore è pari a 52, al di sopra della linea del 50 che separa un mercato in contrazione da un mercato in crescita. L’aspettativa delle imprese in vista del 30/09 tuttavia fa registrare una riduzione dell’indicatore.</w:t>
      </w:r>
    </w:p>
    <w:p w14:paraId="06738E6D" w14:textId="77777777" w:rsidR="0030120B" w:rsidRPr="006765FF" w:rsidRDefault="0030120B" w:rsidP="0030120B">
      <w:pPr>
        <w:spacing w:before="60" w:after="120"/>
        <w:rPr>
          <w:rFonts w:asciiTheme="minorHAnsi" w:hAnsiTheme="minorHAnsi" w:cstheme="minorHAnsi"/>
          <w:i/>
        </w:rPr>
      </w:pPr>
    </w:p>
    <w:p w14:paraId="1720944C" w14:textId="33529EBE" w:rsidR="0030120B" w:rsidRPr="006765FF" w:rsidRDefault="0030120B" w:rsidP="0030120B">
      <w:pPr>
        <w:spacing w:before="60" w:after="120"/>
        <w:rPr>
          <w:rFonts w:asciiTheme="minorHAnsi" w:hAnsiTheme="minorHAnsi" w:cstheme="minorHAnsi"/>
          <w:b/>
          <w:i/>
          <w:sz w:val="20"/>
          <w:szCs w:val="20"/>
        </w:rPr>
      </w:pPr>
      <w:proofErr w:type="spellStart"/>
      <w:r w:rsidRPr="006765FF">
        <w:rPr>
          <w:rFonts w:asciiTheme="minorHAnsi" w:hAnsiTheme="minorHAnsi" w:cstheme="minorHAnsi"/>
          <w:b/>
          <w:i/>
          <w:sz w:val="20"/>
          <w:szCs w:val="20"/>
        </w:rPr>
        <w:t>Fig</w:t>
      </w:r>
      <w:proofErr w:type="spellEnd"/>
      <w:r w:rsidRPr="006765FF">
        <w:rPr>
          <w:rFonts w:asciiTheme="minorHAnsi" w:hAnsiTheme="minorHAnsi" w:cstheme="minorHAnsi"/>
          <w:b/>
          <w:i/>
          <w:sz w:val="20"/>
          <w:szCs w:val="20"/>
        </w:rPr>
        <w:t xml:space="preserve"> 3. Andamento dei </w:t>
      </w:r>
      <w:r w:rsidRPr="006765FF">
        <w:rPr>
          <w:rFonts w:asciiTheme="minorHAnsi" w:hAnsiTheme="minorHAnsi" w:cstheme="minorHAnsi"/>
          <w:b/>
          <w:i/>
          <w:sz w:val="20"/>
          <w:szCs w:val="20"/>
          <w:u w:val="single"/>
        </w:rPr>
        <w:t>RICAVI</w:t>
      </w:r>
      <w:r w:rsidRPr="006765FF">
        <w:rPr>
          <w:rFonts w:asciiTheme="minorHAnsi" w:hAnsiTheme="minorHAnsi" w:cstheme="minorHAnsi"/>
          <w:b/>
          <w:i/>
          <w:sz w:val="20"/>
          <w:szCs w:val="20"/>
        </w:rPr>
        <w:t>. Saldo= % migliore + ½ invariato.</w:t>
      </w:r>
    </w:p>
    <w:p w14:paraId="57E5EDE4" w14:textId="77777777" w:rsidR="0030120B" w:rsidRDefault="0030120B" w:rsidP="0030120B">
      <w:pPr>
        <w:spacing w:before="60" w:after="120"/>
        <w:rPr>
          <w:bCs/>
          <w:i/>
          <w:sz w:val="16"/>
        </w:rPr>
      </w:pPr>
    </w:p>
    <w:p w14:paraId="2AE42C34" w14:textId="77777777" w:rsidR="0030120B" w:rsidRDefault="0030120B" w:rsidP="0030120B">
      <w:pPr>
        <w:spacing w:before="60"/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inline distT="0" distB="0" distL="0" distR="0" wp14:anchorId="03CEEA36" wp14:editId="33FBBC9C">
            <wp:extent cx="4903861" cy="18000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861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80A1B5" w14:textId="77777777" w:rsidR="0030120B" w:rsidRDefault="0030120B" w:rsidP="0030120B">
      <w:pPr>
        <w:spacing w:before="60"/>
        <w:rPr>
          <w:b/>
          <w:bCs/>
          <w:sz w:val="20"/>
        </w:rPr>
      </w:pPr>
    </w:p>
    <w:p w14:paraId="763AEBBA" w14:textId="77777777" w:rsidR="00A21C54" w:rsidRDefault="00A21C54" w:rsidP="006765FF">
      <w:pPr>
        <w:spacing w:before="60"/>
        <w:jc w:val="both"/>
        <w:rPr>
          <w:rFonts w:asciiTheme="minorHAnsi" w:hAnsiTheme="minorHAnsi" w:cstheme="minorHAnsi"/>
          <w:b/>
          <w:bCs/>
        </w:rPr>
      </w:pPr>
    </w:p>
    <w:p w14:paraId="77C855EC" w14:textId="45CA2003" w:rsidR="0030120B" w:rsidRPr="006765FF" w:rsidRDefault="0030120B" w:rsidP="006765FF">
      <w:pPr>
        <w:spacing w:before="60"/>
        <w:jc w:val="both"/>
        <w:rPr>
          <w:rFonts w:asciiTheme="minorHAnsi" w:hAnsiTheme="minorHAnsi" w:cstheme="minorHAnsi"/>
        </w:rPr>
      </w:pPr>
      <w:r w:rsidRPr="006765FF">
        <w:rPr>
          <w:rFonts w:asciiTheme="minorHAnsi" w:hAnsiTheme="minorHAnsi" w:cstheme="minorHAnsi"/>
          <w:b/>
          <w:bCs/>
        </w:rPr>
        <w:t>Prosegue la crisi delle imprese colpite dall’aumento abnorme dei prezzi praticati da parte dei fornitori:</w:t>
      </w:r>
      <w:r w:rsidRPr="006765FF">
        <w:rPr>
          <w:rFonts w:asciiTheme="minorHAnsi" w:hAnsiTheme="minorHAnsi" w:cstheme="minorHAnsi"/>
        </w:rPr>
        <w:t xml:space="preserve"> l’indicatore è pari a 12 (su una scala da 0 a 100). Prospetticamente l’indicatore peggiorerà ancora, scendendo al livello più basso mai registrato prima dall’Osservatorio. </w:t>
      </w:r>
      <w:r w:rsidRPr="006765FF">
        <w:rPr>
          <w:rFonts w:asciiTheme="minorHAnsi" w:hAnsiTheme="minorHAnsi" w:cstheme="minorHAnsi"/>
          <w:b/>
          <w:bCs/>
        </w:rPr>
        <w:t>Migliora la situazione occupazionale delle imprese del terziario di Torino nel secondo trimestre dell’anno.</w:t>
      </w:r>
      <w:r w:rsidRPr="006765FF">
        <w:rPr>
          <w:rFonts w:asciiTheme="minorHAnsi" w:hAnsiTheme="minorHAnsi" w:cstheme="minorHAnsi"/>
        </w:rPr>
        <w:t xml:space="preserve"> La previsione in vista della fine dell’estate indica un peggioramento dell’andamento delle imprese. </w:t>
      </w:r>
      <w:r w:rsidRPr="006765FF">
        <w:rPr>
          <w:rFonts w:asciiTheme="minorHAnsi" w:hAnsiTheme="minorHAnsi" w:cstheme="minorHAnsi"/>
          <w:b/>
          <w:bCs/>
        </w:rPr>
        <w:t>Torna a peggiorare la situazione dei tempi di pagamento dei clienti delle imprese del terziario,</w:t>
      </w:r>
      <w:r w:rsidRPr="006765FF">
        <w:rPr>
          <w:rFonts w:asciiTheme="minorHAnsi" w:hAnsiTheme="minorHAnsi" w:cstheme="minorHAnsi"/>
        </w:rPr>
        <w:t xml:space="preserve"> con un peggioramento costante dell’indicatore a partire dalla metà del 2021. </w:t>
      </w:r>
      <w:r w:rsidRPr="006765FF">
        <w:rPr>
          <w:rFonts w:asciiTheme="minorHAnsi" w:hAnsiTheme="minorHAnsi" w:cstheme="minorHAnsi"/>
          <w:b/>
          <w:bCs/>
        </w:rPr>
        <w:t>La situazione della liquidità delle imprese del terziario di Torino a giugno 2022 è in peggioramento rispetto al trimestre precedente.</w:t>
      </w:r>
      <w:r w:rsidRPr="006765FF">
        <w:rPr>
          <w:rFonts w:asciiTheme="minorHAnsi" w:hAnsiTheme="minorHAnsi" w:cstheme="minorHAnsi"/>
        </w:rPr>
        <w:t xml:space="preserve"> L’indicatore è in calo anche a livello prospettico in vista del mese di settembre.</w:t>
      </w:r>
    </w:p>
    <w:bookmarkEnd w:id="1"/>
    <w:bookmarkEnd w:id="3"/>
    <w:p w14:paraId="5B952F46" w14:textId="77777777" w:rsidR="0030120B" w:rsidRDefault="0030120B" w:rsidP="0030120B">
      <w:pPr>
        <w:spacing w:before="60" w:after="120"/>
        <w:rPr>
          <w:b/>
          <w:i/>
          <w:sz w:val="16"/>
        </w:rPr>
      </w:pPr>
    </w:p>
    <w:p w14:paraId="322FABA4" w14:textId="77777777" w:rsidR="00A21C54" w:rsidRDefault="00A21C54" w:rsidP="0030120B">
      <w:pPr>
        <w:spacing w:before="60" w:after="120"/>
        <w:rPr>
          <w:rFonts w:asciiTheme="minorHAnsi" w:hAnsiTheme="minorHAnsi" w:cstheme="minorHAnsi"/>
          <w:b/>
          <w:i/>
          <w:sz w:val="20"/>
          <w:szCs w:val="20"/>
        </w:rPr>
      </w:pPr>
    </w:p>
    <w:p w14:paraId="05438A0B" w14:textId="4D723A34" w:rsidR="0030120B" w:rsidRPr="006765FF" w:rsidRDefault="0030120B" w:rsidP="0030120B">
      <w:pPr>
        <w:spacing w:before="60" w:after="120"/>
        <w:rPr>
          <w:rFonts w:asciiTheme="minorHAnsi" w:hAnsiTheme="minorHAnsi" w:cstheme="minorHAnsi"/>
          <w:b/>
          <w:i/>
          <w:sz w:val="20"/>
          <w:szCs w:val="20"/>
        </w:rPr>
      </w:pPr>
      <w:proofErr w:type="spellStart"/>
      <w:r w:rsidRPr="006765FF">
        <w:rPr>
          <w:rFonts w:asciiTheme="minorHAnsi" w:hAnsiTheme="minorHAnsi" w:cstheme="minorHAnsi"/>
          <w:b/>
          <w:i/>
          <w:sz w:val="20"/>
          <w:szCs w:val="20"/>
        </w:rPr>
        <w:t>Fig</w:t>
      </w:r>
      <w:proofErr w:type="spellEnd"/>
      <w:r w:rsidRPr="006765FF">
        <w:rPr>
          <w:rFonts w:asciiTheme="minorHAnsi" w:hAnsiTheme="minorHAnsi" w:cstheme="minorHAnsi"/>
          <w:b/>
          <w:i/>
          <w:sz w:val="20"/>
          <w:szCs w:val="20"/>
        </w:rPr>
        <w:t xml:space="preserve"> 4. Andamento del </w:t>
      </w:r>
      <w:r w:rsidRPr="006765FF">
        <w:rPr>
          <w:rFonts w:asciiTheme="minorHAnsi" w:hAnsiTheme="minorHAnsi" w:cstheme="minorHAnsi"/>
          <w:b/>
          <w:i/>
          <w:sz w:val="20"/>
          <w:szCs w:val="20"/>
          <w:u w:val="single"/>
        </w:rPr>
        <w:t>FABBISOGNO FINANZIARIO</w:t>
      </w:r>
      <w:r w:rsidRPr="006765FF">
        <w:rPr>
          <w:rFonts w:asciiTheme="minorHAnsi" w:hAnsiTheme="minorHAnsi" w:cstheme="minorHAnsi"/>
          <w:b/>
          <w:i/>
          <w:sz w:val="20"/>
          <w:szCs w:val="20"/>
        </w:rPr>
        <w:t>. Saldo= % migliore + ½ invariato.</w:t>
      </w:r>
    </w:p>
    <w:p w14:paraId="0B1373E8" w14:textId="77777777" w:rsidR="0030120B" w:rsidRDefault="0030120B" w:rsidP="0030120B">
      <w:pPr>
        <w:spacing w:before="60"/>
        <w:rPr>
          <w:sz w:val="20"/>
        </w:rPr>
      </w:pPr>
    </w:p>
    <w:p w14:paraId="04524FB2" w14:textId="77777777" w:rsidR="0030120B" w:rsidRDefault="0030120B" w:rsidP="0030120B">
      <w:pPr>
        <w:spacing w:before="60"/>
        <w:rPr>
          <w:sz w:val="20"/>
        </w:rPr>
      </w:pPr>
      <w:r>
        <w:rPr>
          <w:noProof/>
          <w:sz w:val="20"/>
        </w:rPr>
        <w:drawing>
          <wp:inline distT="0" distB="0" distL="0" distR="0" wp14:anchorId="5B7F7FD7" wp14:editId="45584CC6">
            <wp:extent cx="4903862" cy="180000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862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02DCE2" w14:textId="77777777" w:rsidR="00A21C54" w:rsidRDefault="00A21C54" w:rsidP="0030120B">
      <w:pPr>
        <w:spacing w:before="60"/>
        <w:rPr>
          <w:rFonts w:asciiTheme="minorHAnsi" w:hAnsiTheme="minorHAnsi" w:cstheme="minorHAnsi"/>
          <w:b/>
          <w:color w:val="C00000"/>
          <w:sz w:val="20"/>
          <w:szCs w:val="22"/>
          <w:u w:val="single"/>
        </w:rPr>
      </w:pPr>
    </w:p>
    <w:p w14:paraId="095167B1" w14:textId="77777777" w:rsidR="00AB5430" w:rsidRDefault="00AB5430" w:rsidP="0030120B">
      <w:pPr>
        <w:spacing w:before="60"/>
        <w:rPr>
          <w:rFonts w:asciiTheme="minorHAnsi" w:hAnsiTheme="minorHAnsi" w:cstheme="minorHAnsi"/>
          <w:b/>
          <w:color w:val="C00000"/>
          <w:sz w:val="20"/>
          <w:szCs w:val="22"/>
          <w:u w:val="single"/>
        </w:rPr>
      </w:pPr>
    </w:p>
    <w:p w14:paraId="108FB88B" w14:textId="77777777" w:rsidR="00AB5430" w:rsidRDefault="00AB5430" w:rsidP="0030120B">
      <w:pPr>
        <w:spacing w:before="60"/>
        <w:rPr>
          <w:rFonts w:asciiTheme="minorHAnsi" w:hAnsiTheme="minorHAnsi" w:cstheme="minorHAnsi"/>
          <w:b/>
          <w:color w:val="C00000"/>
          <w:sz w:val="20"/>
          <w:szCs w:val="22"/>
          <w:u w:val="single"/>
        </w:rPr>
      </w:pPr>
    </w:p>
    <w:p w14:paraId="53700CC2" w14:textId="77777777" w:rsidR="00AB5430" w:rsidRDefault="00AB5430" w:rsidP="0030120B">
      <w:pPr>
        <w:spacing w:before="60"/>
        <w:rPr>
          <w:rFonts w:asciiTheme="minorHAnsi" w:hAnsiTheme="minorHAnsi" w:cstheme="minorHAnsi"/>
          <w:b/>
          <w:color w:val="C00000"/>
          <w:sz w:val="20"/>
          <w:szCs w:val="22"/>
          <w:u w:val="single"/>
        </w:rPr>
      </w:pPr>
    </w:p>
    <w:p w14:paraId="69A4887B" w14:textId="0CA654E8" w:rsidR="0030120B" w:rsidRPr="006765FF" w:rsidRDefault="00AB5430" w:rsidP="0030120B">
      <w:pPr>
        <w:spacing w:before="60"/>
        <w:rPr>
          <w:rFonts w:asciiTheme="minorHAnsi" w:hAnsiTheme="minorHAnsi" w:cstheme="minorHAnsi"/>
          <w:b/>
          <w:color w:val="C00000"/>
          <w:sz w:val="20"/>
          <w:szCs w:val="22"/>
          <w:u w:val="single"/>
        </w:rPr>
      </w:pPr>
      <w:proofErr w:type="spellStart"/>
      <w:r>
        <w:rPr>
          <w:rFonts w:asciiTheme="minorHAnsi" w:hAnsiTheme="minorHAnsi" w:cstheme="minorHAnsi"/>
          <w:b/>
          <w:color w:val="C00000"/>
          <w:sz w:val="20"/>
          <w:szCs w:val="22"/>
          <w:u w:val="single"/>
        </w:rPr>
        <w:lastRenderedPageBreak/>
        <w:t>ù</w:t>
      </w:r>
      <w:r w:rsidR="0030120B" w:rsidRPr="006765FF">
        <w:rPr>
          <w:rFonts w:asciiTheme="minorHAnsi" w:hAnsiTheme="minorHAnsi" w:cstheme="minorHAnsi"/>
          <w:b/>
          <w:color w:val="C00000"/>
          <w:sz w:val="20"/>
          <w:szCs w:val="22"/>
          <w:u w:val="single"/>
        </w:rPr>
        <w:t>LIQUIDITÀ</w:t>
      </w:r>
      <w:proofErr w:type="spellEnd"/>
      <w:r w:rsidR="0030120B" w:rsidRPr="006765FF">
        <w:rPr>
          <w:rFonts w:asciiTheme="minorHAnsi" w:hAnsiTheme="minorHAnsi" w:cstheme="minorHAnsi"/>
          <w:b/>
          <w:color w:val="C00000"/>
          <w:sz w:val="20"/>
          <w:szCs w:val="22"/>
          <w:u w:val="single"/>
        </w:rPr>
        <w:t xml:space="preserve"> E CREDITO</w:t>
      </w:r>
    </w:p>
    <w:p w14:paraId="6814D336" w14:textId="77777777" w:rsidR="0030120B" w:rsidRPr="002B5E3D" w:rsidRDefault="0030120B" w:rsidP="002B5E3D">
      <w:pPr>
        <w:spacing w:before="60"/>
        <w:jc w:val="both"/>
      </w:pPr>
      <w:r w:rsidRPr="002B5E3D">
        <w:t xml:space="preserve">A fronte della diminuzione della percentuale di imprese che hanno chiesto credito negli ultimi tre mesi, aumenta la quota di risposte positive da parte delle banche. Il 60,0% delle imprese ha fatto richiesta di credito per esigenze di liquidità e cassa, il 24,0% per effettuare investimenti ed il 16,0% per la ristrutturazione del debito. </w:t>
      </w:r>
    </w:p>
    <w:p w14:paraId="01F7BA7A" w14:textId="77777777" w:rsidR="0030120B" w:rsidRDefault="0030120B" w:rsidP="0030120B">
      <w:pPr>
        <w:spacing w:before="60"/>
      </w:pPr>
    </w:p>
    <w:p w14:paraId="45F46C1A" w14:textId="1CADE721" w:rsidR="0030120B" w:rsidRPr="006765FF" w:rsidRDefault="0030120B" w:rsidP="0030120B">
      <w:pPr>
        <w:spacing w:before="60" w:after="120"/>
        <w:rPr>
          <w:rFonts w:asciiTheme="minorHAnsi" w:hAnsiTheme="minorHAnsi" w:cstheme="minorHAnsi"/>
          <w:bCs/>
          <w:i/>
          <w:sz w:val="20"/>
          <w:szCs w:val="20"/>
        </w:rPr>
      </w:pPr>
      <w:proofErr w:type="spellStart"/>
      <w:r w:rsidRPr="006765FF">
        <w:rPr>
          <w:rFonts w:asciiTheme="minorHAnsi" w:hAnsiTheme="minorHAnsi" w:cstheme="minorHAnsi"/>
          <w:b/>
          <w:i/>
          <w:sz w:val="20"/>
          <w:szCs w:val="20"/>
        </w:rPr>
        <w:t>Fig</w:t>
      </w:r>
      <w:proofErr w:type="spellEnd"/>
      <w:r w:rsidRPr="006765FF">
        <w:rPr>
          <w:rFonts w:asciiTheme="minorHAnsi" w:hAnsiTheme="minorHAnsi" w:cstheme="minorHAnsi"/>
          <w:b/>
          <w:i/>
          <w:sz w:val="20"/>
          <w:szCs w:val="20"/>
        </w:rPr>
        <w:t xml:space="preserve"> 5.</w:t>
      </w:r>
      <w:r w:rsidRPr="006765FF">
        <w:rPr>
          <w:rFonts w:asciiTheme="minorHAnsi" w:hAnsiTheme="minorHAnsi" w:cstheme="minorHAnsi"/>
          <w:bCs/>
          <w:i/>
          <w:sz w:val="20"/>
          <w:szCs w:val="20"/>
        </w:rPr>
        <w:t xml:space="preserve"> Domanda di credito.</w:t>
      </w:r>
    </w:p>
    <w:p w14:paraId="4CE3F0F2" w14:textId="77777777" w:rsidR="0030120B" w:rsidRDefault="0030120B" w:rsidP="0030120B">
      <w:pPr>
        <w:spacing w:before="60" w:after="120"/>
        <w:rPr>
          <w:bCs/>
          <w:i/>
          <w:sz w:val="16"/>
        </w:rPr>
      </w:pPr>
    </w:p>
    <w:p w14:paraId="5F9F4309" w14:textId="77777777" w:rsidR="0030120B" w:rsidRDefault="0030120B" w:rsidP="0030120B">
      <w:pPr>
        <w:spacing w:before="60" w:after="120"/>
        <w:rPr>
          <w:bCs/>
          <w:i/>
          <w:sz w:val="16"/>
        </w:rPr>
      </w:pPr>
      <w:r>
        <w:rPr>
          <w:noProof/>
          <w:sz w:val="20"/>
        </w:rPr>
        <w:drawing>
          <wp:inline distT="0" distB="0" distL="0" distR="0" wp14:anchorId="67861075" wp14:editId="1D32521D">
            <wp:extent cx="5226050" cy="146838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845" cy="147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DBA947" w14:textId="77777777" w:rsidR="0030120B" w:rsidRDefault="0030120B" w:rsidP="0030120B">
      <w:pPr>
        <w:spacing w:before="60"/>
        <w:rPr>
          <w:sz w:val="20"/>
        </w:rPr>
      </w:pPr>
    </w:p>
    <w:p w14:paraId="3F0149A1" w14:textId="77777777" w:rsidR="00A21C54" w:rsidRDefault="00A21C54" w:rsidP="002B5E3D">
      <w:pPr>
        <w:spacing w:before="60"/>
        <w:jc w:val="both"/>
        <w:rPr>
          <w:rFonts w:asciiTheme="minorHAnsi" w:hAnsiTheme="minorHAnsi" w:cstheme="minorHAnsi"/>
          <w:b/>
          <w:bCs/>
        </w:rPr>
      </w:pPr>
    </w:p>
    <w:p w14:paraId="34F9F00C" w14:textId="52205F9F" w:rsidR="0030120B" w:rsidRPr="002B5E3D" w:rsidRDefault="0030120B" w:rsidP="002B5E3D">
      <w:pPr>
        <w:spacing w:before="60"/>
        <w:jc w:val="both"/>
        <w:rPr>
          <w:rFonts w:asciiTheme="minorHAnsi" w:hAnsiTheme="minorHAnsi" w:cstheme="minorHAnsi"/>
          <w:b/>
          <w:bCs/>
        </w:rPr>
      </w:pPr>
      <w:r w:rsidRPr="002B5E3D">
        <w:rPr>
          <w:rFonts w:asciiTheme="minorHAnsi" w:hAnsiTheme="minorHAnsi" w:cstheme="minorHAnsi"/>
          <w:b/>
          <w:bCs/>
        </w:rPr>
        <w:t>I giudizi degli imprenditori del terziario della provincia di Torino circa i costi ai quali il credito viene concesso (tassi di interesse) sono significativamente peggiorati rispetto al trimestre precedente.</w:t>
      </w:r>
      <w:r w:rsidRPr="002B5E3D">
        <w:rPr>
          <w:rFonts w:asciiTheme="minorHAnsi" w:hAnsiTheme="minorHAnsi" w:cstheme="minorHAnsi"/>
        </w:rPr>
        <w:t xml:space="preserve"> I costi dell’istruttoria continuano a peggiorare nel secondo trimestre 2022 secondo il giudizio degli imprenditori. Peggiora ulteriormente il giudizio degli imprenditori del terziario di Torino sulla «durata temporale» del credito. </w:t>
      </w:r>
      <w:r w:rsidRPr="002B5E3D">
        <w:rPr>
          <w:rFonts w:asciiTheme="minorHAnsi" w:hAnsiTheme="minorHAnsi" w:cstheme="minorHAnsi"/>
          <w:b/>
          <w:bCs/>
        </w:rPr>
        <w:t xml:space="preserve">Peggiorano i giudizi degli imprenditori anche per quanto concerne le garanzie richieste dalle banche alle imprese a copertura dei finanziamenti concessi. Peggiorano </w:t>
      </w:r>
      <w:proofErr w:type="gramStart"/>
      <w:r w:rsidRPr="002B5E3D">
        <w:rPr>
          <w:rFonts w:asciiTheme="minorHAnsi" w:hAnsiTheme="minorHAnsi" w:cstheme="minorHAnsi"/>
          <w:b/>
          <w:bCs/>
        </w:rPr>
        <w:t>anche  i</w:t>
      </w:r>
      <w:proofErr w:type="gramEnd"/>
      <w:r w:rsidRPr="002B5E3D">
        <w:rPr>
          <w:rFonts w:asciiTheme="minorHAnsi" w:hAnsiTheme="minorHAnsi" w:cstheme="minorHAnsi"/>
          <w:b/>
          <w:bCs/>
        </w:rPr>
        <w:t xml:space="preserve"> giudizi degli imprenditori circa il costo dei servizi bancari nel loro complesso.</w:t>
      </w:r>
    </w:p>
    <w:p w14:paraId="737ABB85" w14:textId="77777777" w:rsidR="0030120B" w:rsidRDefault="0030120B" w:rsidP="0030120B">
      <w:pPr>
        <w:spacing w:before="60"/>
        <w:rPr>
          <w:b/>
          <w:sz w:val="20"/>
          <w:szCs w:val="22"/>
          <w:u w:val="single"/>
        </w:rPr>
      </w:pPr>
    </w:p>
    <w:p w14:paraId="4678E23D" w14:textId="77777777" w:rsidR="0030120B" w:rsidRDefault="0030120B" w:rsidP="0030120B">
      <w:pPr>
        <w:spacing w:before="60"/>
        <w:rPr>
          <w:b/>
          <w:sz w:val="20"/>
          <w:szCs w:val="22"/>
          <w:u w:val="single"/>
        </w:rPr>
      </w:pPr>
    </w:p>
    <w:p w14:paraId="53698F45" w14:textId="77777777" w:rsidR="00A21C54" w:rsidRDefault="00A21C54" w:rsidP="0030120B">
      <w:pPr>
        <w:spacing w:before="60"/>
        <w:rPr>
          <w:rFonts w:asciiTheme="minorHAnsi" w:hAnsiTheme="minorHAnsi" w:cstheme="minorHAnsi"/>
          <w:b/>
          <w:color w:val="C00000"/>
          <w:sz w:val="20"/>
          <w:szCs w:val="20"/>
          <w:u w:val="single"/>
        </w:rPr>
      </w:pPr>
    </w:p>
    <w:p w14:paraId="268C20FE" w14:textId="2F726A6C" w:rsidR="0030120B" w:rsidRPr="002B5E3D" w:rsidRDefault="0030120B" w:rsidP="0030120B">
      <w:pPr>
        <w:spacing w:before="60"/>
        <w:rPr>
          <w:rFonts w:asciiTheme="minorHAnsi" w:hAnsiTheme="minorHAnsi" w:cstheme="minorHAnsi"/>
          <w:b/>
          <w:color w:val="C00000"/>
          <w:sz w:val="20"/>
          <w:szCs w:val="20"/>
          <w:u w:val="single"/>
        </w:rPr>
      </w:pPr>
      <w:r w:rsidRPr="002B5E3D">
        <w:rPr>
          <w:rFonts w:asciiTheme="minorHAnsi" w:hAnsiTheme="minorHAnsi" w:cstheme="minorHAnsi"/>
          <w:b/>
          <w:color w:val="C00000"/>
          <w:sz w:val="20"/>
          <w:szCs w:val="20"/>
          <w:u w:val="single"/>
        </w:rPr>
        <w:t>DOMANDA E OFFERTA DI LAVORO</w:t>
      </w:r>
    </w:p>
    <w:p w14:paraId="68DA7A27" w14:textId="2AA3DE1A" w:rsidR="0030120B" w:rsidRPr="00A21C54" w:rsidRDefault="0030120B" w:rsidP="0030120B">
      <w:pPr>
        <w:spacing w:before="60"/>
        <w:rPr>
          <w:rFonts w:asciiTheme="minorHAnsi" w:hAnsiTheme="minorHAnsi" w:cstheme="minorHAnsi"/>
          <w:bCs/>
        </w:rPr>
      </w:pPr>
      <w:r w:rsidRPr="00A21C54">
        <w:rPr>
          <w:rFonts w:asciiTheme="minorHAnsi" w:hAnsiTheme="minorHAnsi" w:cstheme="minorHAnsi"/>
          <w:b/>
        </w:rPr>
        <w:t>Nel corso degli ultimi 18 mesi, oltre la metà delle imprese – con oltre un addetto - ha effettuato azioni di ricerca di nuovo personale.</w:t>
      </w:r>
      <w:r w:rsidRPr="00A21C54">
        <w:rPr>
          <w:rFonts w:asciiTheme="minorHAnsi" w:hAnsiTheme="minorHAnsi" w:cstheme="minorHAnsi"/>
          <w:bCs/>
        </w:rPr>
        <w:t xml:space="preserve"> Un terzo ha in programma di effettuarle entro l’anno. </w:t>
      </w:r>
    </w:p>
    <w:p w14:paraId="208D07C1" w14:textId="77777777" w:rsidR="0030120B" w:rsidRDefault="0030120B" w:rsidP="0030120B">
      <w:pPr>
        <w:spacing w:before="60"/>
        <w:rPr>
          <w:b/>
          <w:i/>
          <w:sz w:val="16"/>
        </w:rPr>
      </w:pPr>
    </w:p>
    <w:p w14:paraId="5D6F4BEE" w14:textId="77777777" w:rsidR="0030120B" w:rsidRPr="00A21C54" w:rsidRDefault="0030120B" w:rsidP="0030120B">
      <w:pPr>
        <w:spacing w:before="60" w:after="120"/>
        <w:rPr>
          <w:rFonts w:asciiTheme="minorHAnsi" w:hAnsiTheme="minorHAnsi" w:cstheme="minorHAnsi"/>
          <w:b/>
          <w:i/>
          <w:sz w:val="20"/>
          <w:szCs w:val="20"/>
        </w:rPr>
      </w:pPr>
      <w:proofErr w:type="spellStart"/>
      <w:r w:rsidRPr="00A21C54">
        <w:rPr>
          <w:rFonts w:asciiTheme="minorHAnsi" w:hAnsiTheme="minorHAnsi" w:cstheme="minorHAnsi"/>
          <w:b/>
          <w:i/>
          <w:sz w:val="20"/>
          <w:szCs w:val="20"/>
        </w:rPr>
        <w:t>Fig</w:t>
      </w:r>
      <w:proofErr w:type="spellEnd"/>
      <w:r w:rsidRPr="00A21C54">
        <w:rPr>
          <w:rFonts w:asciiTheme="minorHAnsi" w:hAnsiTheme="minorHAnsi" w:cstheme="minorHAnsi"/>
          <w:b/>
          <w:i/>
          <w:sz w:val="20"/>
          <w:szCs w:val="20"/>
        </w:rPr>
        <w:t xml:space="preserve"> 6. Ricerca nuovo personale.</w:t>
      </w:r>
    </w:p>
    <w:p w14:paraId="11C0DAFB" w14:textId="77777777" w:rsidR="0030120B" w:rsidRDefault="0030120B" w:rsidP="0030120B">
      <w:pPr>
        <w:spacing w:before="60" w:after="120"/>
        <w:rPr>
          <w:bCs/>
          <w:i/>
          <w:sz w:val="16"/>
        </w:rPr>
      </w:pPr>
      <w:r>
        <w:rPr>
          <w:bCs/>
          <w:i/>
          <w:noProof/>
          <w:sz w:val="16"/>
        </w:rPr>
        <w:drawing>
          <wp:inline distT="0" distB="0" distL="0" distR="0" wp14:anchorId="2E84F4CF" wp14:editId="3DB06D9C">
            <wp:extent cx="4648200" cy="1341994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686" cy="1346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D89C7" w14:textId="77777777" w:rsidR="0030120B" w:rsidRDefault="0030120B" w:rsidP="0030120B">
      <w:pPr>
        <w:spacing w:before="60" w:after="120"/>
        <w:rPr>
          <w:bCs/>
          <w:i/>
          <w:sz w:val="16"/>
        </w:rPr>
      </w:pPr>
    </w:p>
    <w:p w14:paraId="7A7200A4" w14:textId="77777777" w:rsidR="00A21C54" w:rsidRDefault="00A21C54" w:rsidP="002B5E3D">
      <w:pPr>
        <w:spacing w:before="60"/>
        <w:jc w:val="both"/>
        <w:rPr>
          <w:rFonts w:asciiTheme="minorHAnsi" w:hAnsiTheme="minorHAnsi" w:cstheme="minorHAnsi"/>
          <w:bCs/>
        </w:rPr>
      </w:pPr>
    </w:p>
    <w:p w14:paraId="6CBB72C7" w14:textId="0640AE79" w:rsidR="0030120B" w:rsidRPr="00A21C54" w:rsidRDefault="0030120B" w:rsidP="002B5E3D">
      <w:pPr>
        <w:spacing w:before="60"/>
        <w:jc w:val="both"/>
        <w:rPr>
          <w:rFonts w:asciiTheme="minorHAnsi" w:hAnsiTheme="minorHAnsi" w:cstheme="minorHAnsi"/>
          <w:b/>
        </w:rPr>
      </w:pPr>
      <w:r w:rsidRPr="00A21C54">
        <w:rPr>
          <w:rFonts w:asciiTheme="minorHAnsi" w:hAnsiTheme="minorHAnsi" w:cstheme="minorHAnsi"/>
          <w:bCs/>
        </w:rPr>
        <w:t xml:space="preserve">I canali di reclutamento per la ricerca di personale maggiormente utilizzati sono le conoscenze dirette, le candidature sul sito aziendale e le inserzioni online. Il 20% circa delle imprese non ha trovato il personale che stava cercando, il 25% circa ne ha trovato fino al 40%. Solo il 28,7% è riuscita </w:t>
      </w:r>
      <w:r w:rsidRPr="00A21C54">
        <w:rPr>
          <w:rFonts w:asciiTheme="minorHAnsi" w:hAnsiTheme="minorHAnsi" w:cstheme="minorHAnsi"/>
          <w:bCs/>
        </w:rPr>
        <w:lastRenderedPageBreak/>
        <w:t xml:space="preserve">ad assumere tutti o quasi i lavoratori dei quali aveva bisogno. </w:t>
      </w:r>
      <w:r w:rsidRPr="00A21C54">
        <w:rPr>
          <w:rFonts w:asciiTheme="minorHAnsi" w:hAnsiTheme="minorHAnsi" w:cstheme="minorHAnsi"/>
          <w:b/>
        </w:rPr>
        <w:t>Il 57,2% delle imprese che hanno effettuato azioni di ricerca di nuovo personale ha riscontrato difficoltà nel reclutamento.</w:t>
      </w:r>
    </w:p>
    <w:p w14:paraId="6E2F342D" w14:textId="77777777" w:rsidR="0030120B" w:rsidRPr="002B5E3D" w:rsidRDefault="0030120B" w:rsidP="002B5E3D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23F1942A" w14:textId="11A68D4C" w:rsidR="0030120B" w:rsidRPr="002B5E3D" w:rsidRDefault="0030120B" w:rsidP="0030120B">
      <w:pPr>
        <w:spacing w:before="60" w:after="120"/>
        <w:rPr>
          <w:rFonts w:asciiTheme="minorHAnsi" w:hAnsiTheme="minorHAnsi" w:cstheme="minorHAnsi"/>
          <w:b/>
          <w:i/>
          <w:sz w:val="20"/>
          <w:szCs w:val="20"/>
        </w:rPr>
      </w:pPr>
      <w:proofErr w:type="spellStart"/>
      <w:r w:rsidRPr="002B5E3D">
        <w:rPr>
          <w:rFonts w:asciiTheme="minorHAnsi" w:hAnsiTheme="minorHAnsi" w:cstheme="minorHAnsi"/>
          <w:b/>
          <w:i/>
          <w:sz w:val="20"/>
          <w:szCs w:val="20"/>
        </w:rPr>
        <w:t>Fig</w:t>
      </w:r>
      <w:proofErr w:type="spellEnd"/>
      <w:r w:rsidRPr="002B5E3D">
        <w:rPr>
          <w:rFonts w:asciiTheme="minorHAnsi" w:hAnsiTheme="minorHAnsi" w:cstheme="minorHAnsi"/>
          <w:b/>
          <w:i/>
          <w:sz w:val="20"/>
          <w:szCs w:val="20"/>
        </w:rPr>
        <w:t xml:space="preserve"> 7. Difficoltà reclutamento nuovo personale.</w:t>
      </w:r>
    </w:p>
    <w:p w14:paraId="05CDE5CE" w14:textId="77777777" w:rsidR="0030120B" w:rsidRDefault="0030120B" w:rsidP="0030120B">
      <w:pPr>
        <w:spacing w:before="60" w:after="120"/>
        <w:rPr>
          <w:bCs/>
          <w:i/>
          <w:sz w:val="16"/>
        </w:rPr>
      </w:pPr>
      <w:r>
        <w:rPr>
          <w:bCs/>
          <w:i/>
          <w:noProof/>
          <w:sz w:val="16"/>
        </w:rPr>
        <w:drawing>
          <wp:inline distT="0" distB="0" distL="0" distR="0" wp14:anchorId="3469CD4B" wp14:editId="59F584FF">
            <wp:extent cx="5183661" cy="180000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661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F5BB72" w14:textId="77777777" w:rsidR="0030120B" w:rsidRDefault="0030120B" w:rsidP="0030120B">
      <w:pPr>
        <w:spacing w:before="60" w:after="120"/>
        <w:rPr>
          <w:bCs/>
          <w:i/>
          <w:sz w:val="16"/>
        </w:rPr>
      </w:pPr>
    </w:p>
    <w:p w14:paraId="16297FEE" w14:textId="77777777" w:rsidR="00A21C54" w:rsidRDefault="00A21C54" w:rsidP="002B5E3D">
      <w:pPr>
        <w:spacing w:before="60"/>
        <w:jc w:val="both"/>
        <w:rPr>
          <w:rFonts w:asciiTheme="minorHAnsi" w:hAnsiTheme="minorHAnsi" w:cstheme="minorHAnsi"/>
          <w:b/>
        </w:rPr>
      </w:pPr>
    </w:p>
    <w:p w14:paraId="5C24D350" w14:textId="0B1DED69" w:rsidR="0030120B" w:rsidRPr="002B5E3D" w:rsidRDefault="0030120B" w:rsidP="002B5E3D">
      <w:pPr>
        <w:spacing w:before="60"/>
        <w:jc w:val="both"/>
        <w:rPr>
          <w:rFonts w:asciiTheme="minorHAnsi" w:hAnsiTheme="minorHAnsi" w:cstheme="minorHAnsi"/>
          <w:b/>
        </w:rPr>
      </w:pPr>
      <w:r w:rsidRPr="002B5E3D">
        <w:rPr>
          <w:rFonts w:asciiTheme="minorHAnsi" w:hAnsiTheme="minorHAnsi" w:cstheme="minorHAnsi"/>
          <w:b/>
        </w:rPr>
        <w:t>Le difficoltà di reclutamento hanno provocato per il 60% delle imprese riduzione dei ricavi e impossibilità di fare le innovazioni necessarie.</w:t>
      </w:r>
      <w:r w:rsidRPr="002B5E3D">
        <w:rPr>
          <w:rFonts w:asciiTheme="minorHAnsi" w:hAnsiTheme="minorHAnsi" w:cstheme="minorHAnsi"/>
        </w:rPr>
        <w:t xml:space="preserve"> </w:t>
      </w:r>
      <w:r w:rsidRPr="002B5E3D">
        <w:rPr>
          <w:rFonts w:asciiTheme="minorHAnsi" w:hAnsiTheme="minorHAnsi" w:cstheme="minorHAnsi"/>
          <w:bCs/>
        </w:rPr>
        <w:t>Tra le imprese che hanno indicato che le difficoltà di reclutamento hanno provocato una riduzione dei ricavi, il 42,8% indica una riduzione dei ricavi tra il 10% ed il 30% ed il 38,9% una riduzione fino al 10%.</w:t>
      </w:r>
      <w:r w:rsidRPr="002B5E3D">
        <w:rPr>
          <w:rFonts w:asciiTheme="minorHAnsi" w:hAnsiTheme="minorHAnsi" w:cstheme="minorHAnsi"/>
        </w:rPr>
        <w:t xml:space="preserve"> </w:t>
      </w:r>
      <w:r w:rsidRPr="002B5E3D">
        <w:rPr>
          <w:rFonts w:asciiTheme="minorHAnsi" w:hAnsiTheme="minorHAnsi" w:cstheme="minorHAnsi"/>
          <w:b/>
        </w:rPr>
        <w:t>La riduzione del costo del lavoro, e le maggiori agevolazioni a favore delle assunzioni dei giovani, rappresentano per le imprese di Torino le misure più efficaci per il reclutamento di nuovo personale.</w:t>
      </w:r>
    </w:p>
    <w:bookmarkEnd w:id="2"/>
    <w:p w14:paraId="0BCB882C" w14:textId="77777777" w:rsidR="0030120B" w:rsidRPr="002B5E3D" w:rsidRDefault="0030120B" w:rsidP="002B5E3D">
      <w:pPr>
        <w:spacing w:before="60"/>
        <w:jc w:val="both"/>
        <w:rPr>
          <w:rFonts w:asciiTheme="minorHAnsi" w:hAnsiTheme="minorHAnsi" w:cstheme="minorHAnsi"/>
        </w:rPr>
      </w:pPr>
    </w:p>
    <w:p w14:paraId="1A33A6E0" w14:textId="77777777" w:rsidR="0030120B" w:rsidRPr="002B5E3D" w:rsidRDefault="0030120B" w:rsidP="002B5E3D">
      <w:pPr>
        <w:spacing w:before="60"/>
        <w:jc w:val="both"/>
        <w:rPr>
          <w:rFonts w:asciiTheme="minorHAnsi" w:hAnsiTheme="minorHAnsi" w:cstheme="minorHAnsi"/>
        </w:rPr>
      </w:pPr>
    </w:p>
    <w:p w14:paraId="4A959D44" w14:textId="77777777" w:rsidR="0030120B" w:rsidRPr="002B5E3D" w:rsidRDefault="0030120B" w:rsidP="002B5E3D">
      <w:pPr>
        <w:spacing w:before="60"/>
        <w:jc w:val="both"/>
        <w:rPr>
          <w:rFonts w:asciiTheme="minorHAnsi" w:hAnsiTheme="minorHAnsi" w:cstheme="minorHAnsi"/>
        </w:rPr>
      </w:pPr>
    </w:p>
    <w:p w14:paraId="68BF14E4" w14:textId="77777777" w:rsidR="0030120B" w:rsidRPr="002B5E3D" w:rsidRDefault="0030120B" w:rsidP="002B5E3D">
      <w:pPr>
        <w:spacing w:before="60"/>
        <w:jc w:val="both"/>
        <w:rPr>
          <w:rFonts w:asciiTheme="minorHAnsi" w:hAnsiTheme="minorHAnsi" w:cstheme="minorHAnsi"/>
        </w:rPr>
      </w:pPr>
    </w:p>
    <w:p w14:paraId="05914AD8" w14:textId="77777777" w:rsidR="0030120B" w:rsidRPr="002B5E3D" w:rsidRDefault="0030120B" w:rsidP="002B5E3D">
      <w:pPr>
        <w:spacing w:before="60"/>
        <w:jc w:val="both"/>
        <w:rPr>
          <w:rFonts w:asciiTheme="minorHAnsi" w:hAnsiTheme="minorHAnsi" w:cstheme="minorHAnsi"/>
        </w:rPr>
      </w:pPr>
    </w:p>
    <w:p w14:paraId="31F0F60B" w14:textId="77777777" w:rsidR="0030120B" w:rsidRPr="002B5E3D" w:rsidRDefault="0030120B" w:rsidP="002B5E3D">
      <w:pPr>
        <w:spacing w:before="60"/>
        <w:jc w:val="both"/>
        <w:rPr>
          <w:rFonts w:asciiTheme="minorHAnsi" w:hAnsiTheme="minorHAnsi" w:cstheme="minorHAnsi"/>
        </w:rPr>
      </w:pPr>
    </w:p>
    <w:p w14:paraId="041BD8F8" w14:textId="77777777" w:rsidR="0030120B" w:rsidRDefault="0030120B" w:rsidP="0030120B">
      <w:pPr>
        <w:spacing w:before="60"/>
      </w:pPr>
    </w:p>
    <w:p w14:paraId="3B5F54D2" w14:textId="77777777" w:rsidR="0030120B" w:rsidRDefault="0030120B" w:rsidP="0030120B">
      <w:pPr>
        <w:spacing w:before="60"/>
      </w:pPr>
    </w:p>
    <w:p w14:paraId="5345D501" w14:textId="77777777" w:rsidR="0030120B" w:rsidRDefault="0030120B" w:rsidP="0030120B">
      <w:pPr>
        <w:spacing w:before="60"/>
      </w:pPr>
    </w:p>
    <w:p w14:paraId="3909639A" w14:textId="77777777" w:rsidR="0030120B" w:rsidRDefault="0030120B" w:rsidP="0030120B">
      <w:pPr>
        <w:spacing w:before="60"/>
      </w:pPr>
    </w:p>
    <w:p w14:paraId="383ED56D" w14:textId="77777777" w:rsidR="0030120B" w:rsidRDefault="0030120B" w:rsidP="0030120B">
      <w:pPr>
        <w:spacing w:before="60"/>
      </w:pPr>
    </w:p>
    <w:p w14:paraId="5D8E7F34" w14:textId="77777777" w:rsidR="0030120B" w:rsidRDefault="0030120B" w:rsidP="0030120B">
      <w:pPr>
        <w:spacing w:before="60"/>
      </w:pPr>
    </w:p>
    <w:p w14:paraId="3EB2C81B" w14:textId="77777777" w:rsidR="0030120B" w:rsidRDefault="0030120B" w:rsidP="0030120B">
      <w:pPr>
        <w:spacing w:before="60"/>
      </w:pPr>
    </w:p>
    <w:p w14:paraId="6BB381F5" w14:textId="77777777" w:rsidR="0030120B" w:rsidRDefault="0030120B" w:rsidP="0030120B">
      <w:pPr>
        <w:spacing w:before="60"/>
      </w:pPr>
    </w:p>
    <w:p w14:paraId="608D7F26" w14:textId="77777777" w:rsidR="0030120B" w:rsidRDefault="0030120B" w:rsidP="0030120B">
      <w:pPr>
        <w:spacing w:before="60"/>
      </w:pPr>
    </w:p>
    <w:p w14:paraId="2F53CB6B" w14:textId="77777777" w:rsidR="0030120B" w:rsidRDefault="0030120B" w:rsidP="0030120B">
      <w:pPr>
        <w:spacing w:before="60"/>
      </w:pPr>
    </w:p>
    <w:p w14:paraId="3CAF8FF4" w14:textId="77777777" w:rsidR="0030120B" w:rsidRDefault="0030120B" w:rsidP="0030120B">
      <w:pPr>
        <w:spacing w:before="60"/>
      </w:pPr>
    </w:p>
    <w:p w14:paraId="36325371" w14:textId="77777777" w:rsidR="0030120B" w:rsidRDefault="0030120B" w:rsidP="0030120B">
      <w:pPr>
        <w:spacing w:before="60"/>
      </w:pPr>
    </w:p>
    <w:p w14:paraId="79C49979" w14:textId="77777777" w:rsidR="00A21C54" w:rsidRDefault="00A21C54" w:rsidP="0030120B">
      <w:pPr>
        <w:spacing w:before="60"/>
      </w:pPr>
    </w:p>
    <w:p w14:paraId="43B7DAAF" w14:textId="743D9686" w:rsidR="0030120B" w:rsidRDefault="0030120B" w:rsidP="0030120B">
      <w:pPr>
        <w:spacing w:before="60"/>
      </w:pPr>
      <w:r>
        <w:t>____________________</w:t>
      </w:r>
    </w:p>
    <w:p w14:paraId="78073965" w14:textId="77777777" w:rsidR="00A21C54" w:rsidRDefault="00A21C54" w:rsidP="0030120B">
      <w:pPr>
        <w:rPr>
          <w:i/>
          <w:sz w:val="16"/>
          <w:szCs w:val="16"/>
        </w:rPr>
      </w:pPr>
    </w:p>
    <w:p w14:paraId="38B33AB4" w14:textId="77777777" w:rsidR="00A21C54" w:rsidRDefault="00A21C54" w:rsidP="0030120B">
      <w:pPr>
        <w:rPr>
          <w:i/>
          <w:sz w:val="16"/>
          <w:szCs w:val="16"/>
        </w:rPr>
      </w:pPr>
    </w:p>
    <w:p w14:paraId="7F4D5418" w14:textId="2700CB2B" w:rsidR="0030120B" w:rsidRPr="00187E55" w:rsidRDefault="0030120B" w:rsidP="0030120B">
      <w:r w:rsidRPr="00D12ED4">
        <w:rPr>
          <w:i/>
          <w:sz w:val="16"/>
          <w:szCs w:val="16"/>
        </w:rPr>
        <w:t xml:space="preserve">Nota metodologica </w:t>
      </w:r>
      <w:r w:rsidRPr="00D12ED4">
        <w:rPr>
          <w:sz w:val="16"/>
          <w:szCs w:val="16"/>
        </w:rPr>
        <w:t xml:space="preserve">- L’Osservatorio sull’andamento delle imprese del terziario della provincia di Torino è basato su un’indagine continuativa a cadenza trimestrale effettuata su un campione statisticamente rappresentativo dell’universo delle imprese del commercio, del turismo e dei servizi </w:t>
      </w:r>
      <w:r w:rsidRPr="00D12ED4">
        <w:rPr>
          <w:sz w:val="16"/>
          <w:szCs w:val="16"/>
        </w:rPr>
        <w:lastRenderedPageBreak/>
        <w:t xml:space="preserve">della provincia (800 interviste in totale). Margine di fiducia: </w:t>
      </w:r>
      <w:r w:rsidRPr="00D12ED4">
        <w:rPr>
          <w:sz w:val="16"/>
          <w:szCs w:val="16"/>
          <w:u w:val="single"/>
        </w:rPr>
        <w:t>+</w:t>
      </w:r>
      <w:r w:rsidRPr="00D12ED4">
        <w:rPr>
          <w:sz w:val="16"/>
          <w:szCs w:val="16"/>
        </w:rPr>
        <w:t xml:space="preserve">2,6%. L’indagine è stata effettuata dall’Istituto di ricerca Format </w:t>
      </w:r>
      <w:proofErr w:type="spellStart"/>
      <w:r w:rsidRPr="00D12ED4">
        <w:rPr>
          <w:sz w:val="16"/>
          <w:szCs w:val="16"/>
        </w:rPr>
        <w:t>Research</w:t>
      </w:r>
      <w:proofErr w:type="spellEnd"/>
      <w:r w:rsidRPr="00D12ED4">
        <w:rPr>
          <w:sz w:val="16"/>
          <w:szCs w:val="16"/>
        </w:rPr>
        <w:t xml:space="preserve">, tramite interviste </w:t>
      </w:r>
      <w:r>
        <w:rPr>
          <w:sz w:val="16"/>
          <w:szCs w:val="16"/>
        </w:rPr>
        <w:t xml:space="preserve">via web (sistema </w:t>
      </w:r>
      <w:proofErr w:type="spellStart"/>
      <w:r>
        <w:rPr>
          <w:sz w:val="16"/>
          <w:szCs w:val="16"/>
        </w:rPr>
        <w:t>Cawi</w:t>
      </w:r>
      <w:proofErr w:type="spellEnd"/>
      <w:r>
        <w:rPr>
          <w:sz w:val="16"/>
          <w:szCs w:val="16"/>
        </w:rPr>
        <w:t>)</w:t>
      </w:r>
      <w:r w:rsidRPr="00D12ED4">
        <w:rPr>
          <w:sz w:val="16"/>
          <w:szCs w:val="16"/>
        </w:rPr>
        <w:t xml:space="preserve">, nel periodo </w:t>
      </w:r>
      <w:r>
        <w:rPr>
          <w:sz w:val="16"/>
          <w:szCs w:val="16"/>
        </w:rPr>
        <w:t>27 giugno 2022 – 7 luglio 2022</w:t>
      </w:r>
      <w:r w:rsidRPr="00D12ED4">
        <w:rPr>
          <w:sz w:val="16"/>
          <w:szCs w:val="16"/>
        </w:rPr>
        <w:t xml:space="preserve">. </w:t>
      </w:r>
      <w:hyperlink r:id="rId16" w:history="1">
        <w:r w:rsidRPr="00BC22D8">
          <w:rPr>
            <w:rStyle w:val="Collegamentoipertestuale"/>
            <w:rFonts w:cs="Geneva"/>
            <w:sz w:val="16"/>
            <w:szCs w:val="16"/>
          </w:rPr>
          <w:t>www.agcom.it</w:t>
        </w:r>
      </w:hyperlink>
      <w:r w:rsidRPr="00BC22D8">
        <w:rPr>
          <w:rFonts w:cs="Geneva"/>
          <w:sz w:val="16"/>
          <w:szCs w:val="16"/>
        </w:rPr>
        <w:t xml:space="preserve"> </w:t>
      </w:r>
      <w:hyperlink r:id="rId17" w:history="1">
        <w:r w:rsidRPr="00BC22D8">
          <w:rPr>
            <w:rStyle w:val="Collegamentoipertestuale"/>
            <w:rFonts w:cs="Geneva"/>
            <w:sz w:val="16"/>
            <w:szCs w:val="16"/>
          </w:rPr>
          <w:t>www.formatresearch.com</w:t>
        </w:r>
      </w:hyperlink>
    </w:p>
    <w:p w14:paraId="4D222BB8" w14:textId="3E94A2CF" w:rsidR="00F42284" w:rsidRPr="00F42284" w:rsidRDefault="00F42284" w:rsidP="00F42284">
      <w:pPr>
        <w:rPr>
          <w:rFonts w:asciiTheme="minorHAnsi" w:hAnsiTheme="minorHAnsi"/>
          <w:color w:val="0D0D0D" w:themeColor="text1" w:themeTint="F2"/>
          <w:sz w:val="28"/>
          <w:szCs w:val="28"/>
        </w:rPr>
      </w:pPr>
    </w:p>
    <w:sectPr w:rsidR="00F42284" w:rsidRPr="00F422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24E88"/>
    <w:multiLevelType w:val="hybridMultilevel"/>
    <w:tmpl w:val="0EDEE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D7B00"/>
    <w:multiLevelType w:val="hybridMultilevel"/>
    <w:tmpl w:val="CF685A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35957"/>
    <w:multiLevelType w:val="hybridMultilevel"/>
    <w:tmpl w:val="A75045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B71F61"/>
    <w:multiLevelType w:val="hybridMultilevel"/>
    <w:tmpl w:val="256E6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826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1391360">
    <w:abstractNumId w:val="1"/>
  </w:num>
  <w:num w:numId="3" w16cid:durableId="351103398">
    <w:abstractNumId w:val="2"/>
  </w:num>
  <w:num w:numId="4" w16cid:durableId="244345440">
    <w:abstractNumId w:val="3"/>
  </w:num>
  <w:num w:numId="5" w16cid:durableId="58615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52"/>
    <w:rsid w:val="00021B2E"/>
    <w:rsid w:val="00030DE8"/>
    <w:rsid w:val="0003575F"/>
    <w:rsid w:val="00036A18"/>
    <w:rsid w:val="000509F2"/>
    <w:rsid w:val="00054AC0"/>
    <w:rsid w:val="000578CA"/>
    <w:rsid w:val="000726A7"/>
    <w:rsid w:val="0009540C"/>
    <w:rsid w:val="000A0F4F"/>
    <w:rsid w:val="000A6A3F"/>
    <w:rsid w:val="000C6F61"/>
    <w:rsid w:val="000D677C"/>
    <w:rsid w:val="000F1174"/>
    <w:rsid w:val="000F143A"/>
    <w:rsid w:val="000F5D82"/>
    <w:rsid w:val="000F7E49"/>
    <w:rsid w:val="001068AF"/>
    <w:rsid w:val="00106FCC"/>
    <w:rsid w:val="00113B90"/>
    <w:rsid w:val="00122704"/>
    <w:rsid w:val="0013081E"/>
    <w:rsid w:val="001659DE"/>
    <w:rsid w:val="001B3409"/>
    <w:rsid w:val="001C3C71"/>
    <w:rsid w:val="001C5AC8"/>
    <w:rsid w:val="00215D16"/>
    <w:rsid w:val="002240E3"/>
    <w:rsid w:val="00226438"/>
    <w:rsid w:val="00254534"/>
    <w:rsid w:val="00266848"/>
    <w:rsid w:val="00274970"/>
    <w:rsid w:val="00291E59"/>
    <w:rsid w:val="0029708D"/>
    <w:rsid w:val="002A29E9"/>
    <w:rsid w:val="002B5E3D"/>
    <w:rsid w:val="002D097B"/>
    <w:rsid w:val="002E3CB4"/>
    <w:rsid w:val="002F1E73"/>
    <w:rsid w:val="002F2DB3"/>
    <w:rsid w:val="002F5DBC"/>
    <w:rsid w:val="00300EBF"/>
    <w:rsid w:val="0030120B"/>
    <w:rsid w:val="0031163C"/>
    <w:rsid w:val="003179B0"/>
    <w:rsid w:val="00346406"/>
    <w:rsid w:val="00353BD8"/>
    <w:rsid w:val="00354CAA"/>
    <w:rsid w:val="0036005B"/>
    <w:rsid w:val="00384BEE"/>
    <w:rsid w:val="00386552"/>
    <w:rsid w:val="00397263"/>
    <w:rsid w:val="003A1F74"/>
    <w:rsid w:val="003E2F04"/>
    <w:rsid w:val="003F6018"/>
    <w:rsid w:val="004035AC"/>
    <w:rsid w:val="00404C61"/>
    <w:rsid w:val="00413875"/>
    <w:rsid w:val="00440722"/>
    <w:rsid w:val="00452CDC"/>
    <w:rsid w:val="004552F5"/>
    <w:rsid w:val="004625CC"/>
    <w:rsid w:val="004660B2"/>
    <w:rsid w:val="004D3385"/>
    <w:rsid w:val="0053364C"/>
    <w:rsid w:val="005359C8"/>
    <w:rsid w:val="00550D8E"/>
    <w:rsid w:val="0055646F"/>
    <w:rsid w:val="00567CC0"/>
    <w:rsid w:val="00584506"/>
    <w:rsid w:val="0058797F"/>
    <w:rsid w:val="005901BC"/>
    <w:rsid w:val="00593452"/>
    <w:rsid w:val="005A4CC0"/>
    <w:rsid w:val="005C0C42"/>
    <w:rsid w:val="005C1F75"/>
    <w:rsid w:val="005C2B52"/>
    <w:rsid w:val="005C5C03"/>
    <w:rsid w:val="005D3CD5"/>
    <w:rsid w:val="005F2680"/>
    <w:rsid w:val="005F5577"/>
    <w:rsid w:val="005F7749"/>
    <w:rsid w:val="00615036"/>
    <w:rsid w:val="00622515"/>
    <w:rsid w:val="00635F4A"/>
    <w:rsid w:val="00642FBB"/>
    <w:rsid w:val="00647D24"/>
    <w:rsid w:val="00652365"/>
    <w:rsid w:val="006739E5"/>
    <w:rsid w:val="006765FF"/>
    <w:rsid w:val="00681594"/>
    <w:rsid w:val="006917F0"/>
    <w:rsid w:val="00694BEB"/>
    <w:rsid w:val="006A28A9"/>
    <w:rsid w:val="006B2C32"/>
    <w:rsid w:val="00712678"/>
    <w:rsid w:val="00752DDC"/>
    <w:rsid w:val="00755AA3"/>
    <w:rsid w:val="00765E53"/>
    <w:rsid w:val="00766183"/>
    <w:rsid w:val="0077258A"/>
    <w:rsid w:val="0079475F"/>
    <w:rsid w:val="007B0135"/>
    <w:rsid w:val="007B2754"/>
    <w:rsid w:val="007B57A7"/>
    <w:rsid w:val="007C6BAF"/>
    <w:rsid w:val="007D2F0A"/>
    <w:rsid w:val="007D4B5C"/>
    <w:rsid w:val="007D72A5"/>
    <w:rsid w:val="007E61B3"/>
    <w:rsid w:val="007F1BDA"/>
    <w:rsid w:val="00826F70"/>
    <w:rsid w:val="00832B49"/>
    <w:rsid w:val="00840B52"/>
    <w:rsid w:val="00845203"/>
    <w:rsid w:val="0085020C"/>
    <w:rsid w:val="00862228"/>
    <w:rsid w:val="00872316"/>
    <w:rsid w:val="00884A4C"/>
    <w:rsid w:val="00884ACE"/>
    <w:rsid w:val="008853DE"/>
    <w:rsid w:val="00893168"/>
    <w:rsid w:val="008A3D4E"/>
    <w:rsid w:val="008A4241"/>
    <w:rsid w:val="008C1328"/>
    <w:rsid w:val="008E4CF6"/>
    <w:rsid w:val="008E7C9A"/>
    <w:rsid w:val="008F0FED"/>
    <w:rsid w:val="008F293E"/>
    <w:rsid w:val="008F5A02"/>
    <w:rsid w:val="008F7E19"/>
    <w:rsid w:val="00901BA0"/>
    <w:rsid w:val="009429AF"/>
    <w:rsid w:val="00962AF6"/>
    <w:rsid w:val="00964F36"/>
    <w:rsid w:val="00971C4B"/>
    <w:rsid w:val="00974962"/>
    <w:rsid w:val="009A2AB7"/>
    <w:rsid w:val="009A6471"/>
    <w:rsid w:val="009B18FB"/>
    <w:rsid w:val="009C7493"/>
    <w:rsid w:val="009E0A38"/>
    <w:rsid w:val="009E5FD8"/>
    <w:rsid w:val="009F1CD0"/>
    <w:rsid w:val="009F6464"/>
    <w:rsid w:val="00A21C54"/>
    <w:rsid w:val="00A314C1"/>
    <w:rsid w:val="00A35BFE"/>
    <w:rsid w:val="00A35CDC"/>
    <w:rsid w:val="00A502FC"/>
    <w:rsid w:val="00A62705"/>
    <w:rsid w:val="00A6279C"/>
    <w:rsid w:val="00A639B9"/>
    <w:rsid w:val="00A94A4B"/>
    <w:rsid w:val="00AA1535"/>
    <w:rsid w:val="00AB5430"/>
    <w:rsid w:val="00AC673A"/>
    <w:rsid w:val="00AE2E91"/>
    <w:rsid w:val="00AE5183"/>
    <w:rsid w:val="00AE6A41"/>
    <w:rsid w:val="00B01284"/>
    <w:rsid w:val="00B035ED"/>
    <w:rsid w:val="00B14834"/>
    <w:rsid w:val="00B359FD"/>
    <w:rsid w:val="00B35A80"/>
    <w:rsid w:val="00B56C47"/>
    <w:rsid w:val="00B6099B"/>
    <w:rsid w:val="00B67193"/>
    <w:rsid w:val="00B679BC"/>
    <w:rsid w:val="00B679FE"/>
    <w:rsid w:val="00B7089D"/>
    <w:rsid w:val="00B729FC"/>
    <w:rsid w:val="00B93A7C"/>
    <w:rsid w:val="00B9705F"/>
    <w:rsid w:val="00BA067A"/>
    <w:rsid w:val="00BB0578"/>
    <w:rsid w:val="00BB4169"/>
    <w:rsid w:val="00BE3D85"/>
    <w:rsid w:val="00BF300D"/>
    <w:rsid w:val="00C2301C"/>
    <w:rsid w:val="00C24E38"/>
    <w:rsid w:val="00C37391"/>
    <w:rsid w:val="00C4478D"/>
    <w:rsid w:val="00C4551D"/>
    <w:rsid w:val="00C56C9C"/>
    <w:rsid w:val="00C71A31"/>
    <w:rsid w:val="00C74BB8"/>
    <w:rsid w:val="00C75116"/>
    <w:rsid w:val="00C87B13"/>
    <w:rsid w:val="00C93C4E"/>
    <w:rsid w:val="00CA17F2"/>
    <w:rsid w:val="00CC1B2D"/>
    <w:rsid w:val="00CD287B"/>
    <w:rsid w:val="00CE7D80"/>
    <w:rsid w:val="00CF13D7"/>
    <w:rsid w:val="00CF3BBA"/>
    <w:rsid w:val="00D43B8E"/>
    <w:rsid w:val="00D51B12"/>
    <w:rsid w:val="00D563DD"/>
    <w:rsid w:val="00D976A5"/>
    <w:rsid w:val="00DD10C6"/>
    <w:rsid w:val="00DD3604"/>
    <w:rsid w:val="00E0557C"/>
    <w:rsid w:val="00E65B10"/>
    <w:rsid w:val="00E71A98"/>
    <w:rsid w:val="00E944FE"/>
    <w:rsid w:val="00EC2495"/>
    <w:rsid w:val="00ED0790"/>
    <w:rsid w:val="00EF7A3C"/>
    <w:rsid w:val="00F02B34"/>
    <w:rsid w:val="00F02E90"/>
    <w:rsid w:val="00F06308"/>
    <w:rsid w:val="00F07BD8"/>
    <w:rsid w:val="00F132ED"/>
    <w:rsid w:val="00F40CC1"/>
    <w:rsid w:val="00F42284"/>
    <w:rsid w:val="00F446DF"/>
    <w:rsid w:val="00F50412"/>
    <w:rsid w:val="00F50E7B"/>
    <w:rsid w:val="00F5499E"/>
    <w:rsid w:val="00F54AB2"/>
    <w:rsid w:val="00F57EE7"/>
    <w:rsid w:val="00F72EC2"/>
    <w:rsid w:val="00F92D59"/>
    <w:rsid w:val="00FA71A9"/>
    <w:rsid w:val="00FD573B"/>
    <w:rsid w:val="00FD77DA"/>
    <w:rsid w:val="00FE01EF"/>
    <w:rsid w:val="00FE2508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1A288"/>
  <w15:chartTrackingRefBased/>
  <w15:docId w15:val="{DED16C61-3590-49DC-96A6-D20DFF71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5359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5359C8"/>
    <w:rPr>
      <w:rFonts w:ascii="Segoe UI" w:hAnsi="Segoe UI" w:cs="Segoe UI"/>
      <w:sz w:val="18"/>
      <w:szCs w:val="18"/>
    </w:rPr>
  </w:style>
  <w:style w:type="character" w:styleId="Collegamentoipertestuale">
    <w:name w:val="Hyperlink"/>
    <w:unhideWhenUsed/>
    <w:rsid w:val="007D72A5"/>
    <w:rPr>
      <w:rFonts w:ascii="Times New Roman" w:hAnsi="Times New Roman" w:cs="Times New Roman" w:hint="default"/>
      <w:color w:val="0000FF"/>
      <w:u w:val="single"/>
    </w:rPr>
  </w:style>
  <w:style w:type="paragraph" w:styleId="Corpotesto">
    <w:name w:val="Body Text"/>
    <w:basedOn w:val="Normale"/>
    <w:link w:val="CorpotestoCarattere"/>
    <w:unhideWhenUsed/>
    <w:rsid w:val="007D72A5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D72A5"/>
    <w:rPr>
      <w:sz w:val="24"/>
    </w:rPr>
  </w:style>
  <w:style w:type="character" w:styleId="Enfasigrassetto">
    <w:name w:val="Strong"/>
    <w:basedOn w:val="Carpredefinitoparagrafo"/>
    <w:uiPriority w:val="22"/>
    <w:qFormat/>
    <w:rsid w:val="00B67193"/>
    <w:rPr>
      <w:b/>
      <w:bCs/>
    </w:rPr>
  </w:style>
  <w:style w:type="paragraph" w:styleId="Paragrafoelenco">
    <w:name w:val="List Paragraph"/>
    <w:basedOn w:val="Normale"/>
    <w:uiPriority w:val="34"/>
    <w:qFormat/>
    <w:rsid w:val="00AE5183"/>
    <w:pPr>
      <w:ind w:left="720"/>
    </w:pPr>
    <w:rPr>
      <w:rFonts w:ascii="Calibri" w:eastAsiaTheme="minorHAns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8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voce.info/archives/95001/quando-la-domanda-non-trova-lofferta-sul-mercato-del-lavoro/" TargetMode="External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hyperlink" Target="http://www.formatresearch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gcom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1165\Desktop\doc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4</TotalTime>
  <Pages>7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Ascom</Company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Giacometti</dc:creator>
  <cp:keywords/>
  <dc:description/>
  <cp:lastModifiedBy>Augusta Crivello</cp:lastModifiedBy>
  <cp:revision>2</cp:revision>
  <cp:lastPrinted>2022-07-18T09:43:00Z</cp:lastPrinted>
  <dcterms:created xsi:type="dcterms:W3CDTF">2022-07-18T09:47:00Z</dcterms:created>
  <dcterms:modified xsi:type="dcterms:W3CDTF">2022-07-18T09:47:00Z</dcterms:modified>
</cp:coreProperties>
</file>